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before="2400"/>
      </w:pPr>
    </w:p>
    <w:p>
      <w:pPr>
        <w:spacing w:after="0"/>
        <w:jc w:val="left"/>
      </w:pPr>
      <w:r>
        <w:rPr>
          <w:rFonts w:ascii="Arial" w:cs="Arial" w:eastAsia="Arial" w:hAnsi="Arial"/>
          <w:b/>
          <w:bCs/>
          <w:caps/>
          <w:color w:val="0066B3"/>
          <w:sz w:val="28"/>
          <w:szCs w:val="28"/>
        </w:rPr>
        <w:t xml:space="preserve">DDM SYSTEMS</w:t>
      </w:r>
    </w:p>
    <w:p>
      <w:pPr>
        <w:spacing w:after="120"/>
        <w:jc w:val="left"/>
      </w:pPr>
      <w:r>
        <w:rPr>
          <w:rFonts w:ascii="Arial" w:cs="Arial" w:eastAsia="Arial" w:hAnsi="Arial"/>
          <w:caps/>
          <w:color w:val="0066B3"/>
          <w:sz w:val="20"/>
          <w:szCs w:val="20"/>
        </w:rPr>
        <w:t xml:space="preserve">WHITE PAPER</w:t>
      </w:r>
    </w:p>
    <w:tbl>
      <w:tblPr>
        <w:tblW w:type="pct" w:w="10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002855" w:sz="6"/>
              <w:left w:val="none"/>
              <w:bottom w:val="none"/>
              <w:right w:val="none"/>
            </w:tcBorders>
          </w:tcPr>
          <w:p>
            <w:pPr>
              <w:spacing w:after="0"/>
            </w:pPr>
          </w:p>
        </w:tc>
      </w:tr>
    </w:tbl>
    <w:p>
      <w:pPr>
        <w:spacing w:after="100"/>
      </w:pPr>
    </w:p>
    <w:p>
      <w:pPr>
        <w:spacing w:after="200" w:line="340"/>
        <w:jc w:val="left"/>
      </w:pPr>
      <w:r>
        <w:rPr>
          <w:rFonts w:ascii="Arial" w:cs="Arial" w:eastAsia="Arial" w:hAnsi="Arial"/>
          <w:b/>
          <w:bCs/>
          <w:color w:val="002855"/>
          <w:sz w:val="52"/>
          <w:szCs w:val="52"/>
        </w:rPr>
        <w:t xml:space="preserve">Next-Generation Turbine Components</w:t>
      </w:r>
    </w:p>
    <w:p>
      <w:pPr>
        <w:spacing w:after="600"/>
        <w:jc w:val="left"/>
      </w:pPr>
      <w:r>
        <w:rPr>
          <w:rFonts w:ascii="Arial" w:cs="Arial" w:eastAsia="Arial" w:hAnsi="Arial"/>
          <w:i/>
          <w:iCs/>
          <w:color w:val="0066B3"/>
          <w:sz w:val="26"/>
          <w:szCs w:val="26"/>
        </w:rPr>
        <w:t xml:space="preserve">Ceramic 3D Printing for Aerospace and Power Generation</w:t>
      </w:r>
    </w:p>
    <w:p>
      <w:pPr>
        <w:spacing w:after="100"/>
      </w:pPr>
    </w:p>
    <w:p>
      <w:pPr>
        <w:spacing w:after="100"/>
      </w:pPr>
    </w:p>
    <w:p>
      <w:pPr>
        <w:spacing w:after="100"/>
      </w:pPr>
    </w:p>
    <w:p>
      <w:pPr>
        <w:spacing w:after="100"/>
      </w:pPr>
    </w:p>
    <w:p>
      <w:pPr>
        <w:spacing w:after="60"/>
      </w:pPr>
      <w:r>
        <w:rPr>
          <w:rFonts w:ascii="Arial" w:cs="Arial" w:eastAsia="Arial" w:hAnsi="Arial"/>
          <w:color w:val="002855"/>
          <w:sz w:val="20"/>
          <w:szCs w:val="20"/>
        </w:rPr>
        <w:t xml:space="preserve">DDM Systems  |  The Digital Foundry™</w:t>
      </w:r>
    </w:p>
    <w:p>
      <w:pPr>
        <w:spacing w:after="60"/>
      </w:pPr>
      <w:r>
        <w:rPr>
          <w:rFonts w:ascii="Arial" w:cs="Arial" w:eastAsia="Arial" w:hAnsi="Arial"/>
          <w:color w:val="1A1A2E"/>
          <w:sz w:val="18"/>
          <w:szCs w:val="18"/>
        </w:rPr>
        <w:t xml:space="preserve">1876 Defoor Ave NW, Suite 3, Atlanta, GA 30318</w:t>
      </w:r>
    </w:p>
    <w:p>
      <w:pPr>
        <w:spacing w:after="60"/>
      </w:pPr>
      <w:r>
        <w:rPr>
          <w:rFonts w:ascii="Arial" w:cs="Arial" w:eastAsia="Arial" w:hAnsi="Arial"/>
          <w:color w:val="1A1A2E"/>
          <w:sz w:val="18"/>
          <w:szCs w:val="18"/>
        </w:rPr>
        <w:t xml:space="preserve">www.RapidPrecisionCasting.com  |  470-225-6987</w:t>
      </w:r>
    </w:p>
    <w:p>
      <w:pPr>
        <w:spacing w:after="0"/>
      </w:pPr>
      <w:r>
        <w:rPr>
          <w:rFonts w:ascii="Arial" w:cs="Arial" w:eastAsia="Arial" w:hAnsi="Arial"/>
          <w:i/>
          <w:iCs/>
          <w:color w:val="1A1A2E"/>
          <w:sz w:val="16"/>
          <w:szCs w:val="16"/>
        </w:rPr>
        <w:t xml:space="preserve">© 2026 DDM Systems, Inc. All rights reserved.</w:t>
      </w:r>
    </w:p>
    <w:p>
      <w:r>
        <w:br w:type="page"/>
      </w:r>
    </w:p>
    <w:p>
      <w:pPr>
        <w:pStyle w:val="Heading1"/>
        <w:spacing w:before="360" w:after="200"/>
      </w:pPr>
      <w:r>
        <w:rPr>
          <w:rFonts w:ascii="Arial" w:cs="Arial" w:eastAsia="Arial" w:hAnsi="Arial"/>
          <w:b/>
          <w:bCs/>
          <w:color w:val="002855"/>
          <w:sz w:val="40"/>
          <w:szCs w:val="40"/>
        </w:rPr>
        <w:t xml:space="preserve">Executive Summary</w:t>
      </w:r>
    </w:p>
    <w:p>
      <w:pPr>
        <w:spacing w:after="200" w:line="300"/>
      </w:pPr>
      <w:r>
        <w:rPr>
          <w:rFonts w:ascii="Arial" w:cs="Arial" w:eastAsia="Arial" w:hAnsi="Arial"/>
          <w:sz w:val="22"/>
          <w:szCs w:val="22"/>
        </w:rPr>
        <w:t xml:space="preserve">Turbine engine components represent the most demanding application in all of investment casting. Hot-section parts such as blades, vanes, shrouds, and nozzle guide vanes must operate at temperatures exceeding 1,000°C while withstanding extreme centrifugal forces, thermal cycling, and corrosive environments. They require the most advanced alloys, the tightest tolerances, and the most complex internal geometries in manufacturing.</w:t>
      </w:r>
    </w:p>
    <w:p>
      <w:pPr>
        <w:spacing w:after="200" w:line="300"/>
      </w:pPr>
      <w:r>
        <w:rPr>
          <w:rFonts w:ascii="Arial" w:cs="Arial" w:eastAsia="Arial" w:hAnsi="Arial"/>
          <w:sz w:val="22"/>
          <w:szCs w:val="22"/>
        </w:rPr>
        <w:t xml:space="preserve">DDM Systems was founded specifically to address this challenge. The company’s LAMP™ technology was originally developed under a DARPA program to revolutionize the manufacturing of turbine blades for military aircraft engines. Over the past decade, DDM has expanded this capability to serve both aerospace and industrial gas turbine applications.</w:t>
      </w:r>
    </w:p>
    <w:p>
      <w:pPr>
        <w:spacing w:after="200" w:line="300"/>
      </w:pPr>
      <w:r>
        <w:rPr>
          <w:rFonts w:ascii="Arial" w:cs="Arial" w:eastAsia="Arial" w:hAnsi="Arial"/>
          <w:sz w:val="22"/>
          <w:szCs w:val="22"/>
        </w:rPr>
        <w:t xml:space="preserve">This white paper examines how ceramic 3D printing is transforming the production of turbine components, from single-crystal superalloy airfoils to industrial gas turbine hot gas path parts.</w:t>
      </w:r>
    </w:p>
    <w:p>
      <w:r>
        <w:br w:type="page"/>
      </w:r>
    </w:p>
    <w:p>
      <w:pPr>
        <w:pStyle w:val="Heading1"/>
        <w:spacing w:before="360" w:after="200"/>
      </w:pPr>
      <w:r>
        <w:rPr>
          <w:rFonts w:ascii="Arial" w:cs="Arial" w:eastAsia="Arial" w:hAnsi="Arial"/>
          <w:b/>
          <w:bCs/>
          <w:color w:val="002855"/>
          <w:sz w:val="40"/>
          <w:szCs w:val="40"/>
        </w:rPr>
        <w:t xml:space="preserve">The Unique Challenge of Turbine Casting</w:t>
      </w:r>
    </w:p>
    <w:p>
      <w:pPr>
        <w:spacing w:after="200" w:line="300"/>
      </w:pPr>
      <w:r>
        <w:rPr>
          <w:rFonts w:ascii="Arial" w:cs="Arial" w:eastAsia="Arial" w:hAnsi="Arial"/>
          <w:sz w:val="22"/>
          <w:szCs w:val="22"/>
        </w:rPr>
        <w:t xml:space="preserve">Turbine components push investment casting to its absolute limits. The technical requirements for a modern turbine airfoil include complex internal cooling passages with cast-in film cooling holes, single-crystal or directionally-solidified microstructure throughout the entire part, wall thicknesses as thin as physically castable, surface finishes that affect aerodynamic performance, and dimensional tolerances measured in thousandths of an inch.</w:t>
      </w:r>
    </w:p>
    <w:p>
      <w:pPr>
        <w:spacing w:after="100"/>
      </w:pPr>
    </w:p>
    <w:p>
      <w:pPr>
        <w:pStyle w:val="Heading2"/>
        <w:spacing w:before="300" w:after="160"/>
      </w:pPr>
      <w:r>
        <w:rPr>
          <w:rFonts w:ascii="Arial" w:cs="Arial" w:eastAsia="Arial" w:hAnsi="Arial"/>
          <w:b/>
          <w:bCs/>
          <w:color w:val="002855"/>
          <w:sz w:val="30"/>
          <w:szCs w:val="30"/>
        </w:rPr>
        <w:t xml:space="preserve">Why Tooling Is the Bottleneck</w:t>
      </w:r>
    </w:p>
    <w:p>
      <w:pPr>
        <w:spacing w:after="200" w:line="300"/>
      </w:pPr>
      <w:r>
        <w:rPr>
          <w:rFonts w:ascii="Arial" w:cs="Arial" w:eastAsia="Arial" w:hAnsi="Arial"/>
          <w:sz w:val="22"/>
          <w:szCs w:val="22"/>
        </w:rPr>
        <w:t xml:space="preserve">The internal cooling passages in a modern turbine blade are among the most complex geometries in all of manufacturing. These passages are created using ceramic cores that are separately injected in their own dedicated tooling, then carefully assembled with the wax pattern before shell building.</w:t>
      </w:r>
    </w:p>
    <w:p>
      <w:pPr>
        <w:spacing w:after="200" w:line="300"/>
      </w:pPr>
      <w:r>
        <w:rPr>
          <w:rFonts w:ascii="Arial" w:cs="Arial" w:eastAsia="Arial" w:hAnsi="Arial"/>
          <w:sz w:val="22"/>
          <w:szCs w:val="22"/>
        </w:rPr>
        <w:t xml:space="preserve">A single turbine blade may require multiple sets of core tooling, each costing tens of thousands of dollars and requiring weeks to manufacture. Any change to the cooling passage design requires new core tooling, creating a massive barrier to design iteration and optimization.</w:t>
      </w:r>
    </w:p>
    <w:p>
      <w:pPr>
        <w:spacing w:after="200" w:line="300"/>
      </w:pPr>
      <w:r>
        <w:rPr>
          <w:rFonts w:ascii="Arial" w:cs="Arial" w:eastAsia="Arial" w:hAnsi="Arial"/>
          <w:sz w:val="22"/>
          <w:szCs w:val="22"/>
        </w:rPr>
        <w:t xml:space="preserve">DDM’s LAMP™ technology prints the shell with all internal cores integrated in a single operation. The entire tooling chain for core production is eliminated.</w:t>
      </w:r>
    </w:p>
    <w:p>
      <w:r>
        <w:br w:type="page"/>
      </w:r>
    </w:p>
    <w:p>
      <w:pPr>
        <w:pStyle w:val="Heading1"/>
        <w:spacing w:before="360" w:after="200"/>
      </w:pPr>
      <w:r>
        <w:rPr>
          <w:rFonts w:ascii="Arial" w:cs="Arial" w:eastAsia="Arial" w:hAnsi="Arial"/>
          <w:b/>
          <w:bCs/>
          <w:color w:val="002855"/>
          <w:sz w:val="40"/>
          <w:szCs w:val="40"/>
        </w:rPr>
        <w:t xml:space="preserve">DDM’s Turbine Casting Capabilities</w:t>
      </w:r>
    </w:p>
    <w:p>
      <w:pPr>
        <w:spacing w:after="100"/>
      </w:pPr>
    </w:p>
    <w:p>
      <w:pPr>
        <w:pStyle w:val="Heading2"/>
        <w:spacing w:before="300" w:after="160"/>
      </w:pPr>
      <w:r>
        <w:rPr>
          <w:rFonts w:ascii="Arial" w:cs="Arial" w:eastAsia="Arial" w:hAnsi="Arial"/>
          <w:b/>
          <w:bCs/>
          <w:color w:val="002855"/>
          <w:sz w:val="30"/>
          <w:szCs w:val="30"/>
        </w:rPr>
        <w:t xml:space="preserve">Single Crystal and Directionally Solidified Casting</w:t>
      </w:r>
    </w:p>
    <w:p>
      <w:pPr>
        <w:spacing w:after="200" w:line="300"/>
      </w:pPr>
      <w:r>
        <w:rPr>
          <w:rFonts w:ascii="Arial" w:cs="Arial" w:eastAsia="Arial" w:hAnsi="Arial"/>
          <w:sz w:val="22"/>
          <w:szCs w:val="22"/>
        </w:rPr>
        <w:t xml:space="preserve">DDM has demonstrated successful casting of both single-crystal (SX) and directionally-solidified (DS) nickel superalloy components using LAMP™-printed ceramic shells. These are the most technically demanding casting processes in the world, requiring precise control of thermal gradients during solidification to achieve the desired crystal structure.</w:t>
      </w:r>
    </w:p>
    <w:p>
      <w:pPr>
        <w:spacing w:after="100"/>
      </w:pPr>
    </w:p>
    <w:tbl>
      <w:tblPr>
        <w:tblW w:type="pct" w:w="100%"/>
        <w:tblBorders>
          <w:top w:val="single" w:color="auto" w:sz="4"/>
          <w:left w:val="single" w:color="auto" w:sz="4"/>
          <w:bottom w:val="single" w:color="auto" w:sz="4"/>
          <w:right w:val="single" w:color="auto" w:sz="4"/>
          <w:insideH w:val="single" w:color="auto" w:sz="4"/>
          <w:insideV w:val="single" w:color="auto" w:sz="4"/>
        </w:tblBorders>
      </w:tblPr>
      <w:tblGrid>
        <w:gridCol w:w="3120"/>
        <w:gridCol w:w="3120"/>
        <w:gridCol w:w="3120"/>
      </w:tblGrid>
      <w:tr>
        <w:tc>
          <w:tcPr>
            <w:tcW w:type="dxa" w:w="3120"/>
            <w:tcBorders>
              <w:top w:val="single" w:color="E0E0E0" w:sz="1"/>
              <w:left w:val="single" w:color="E0E0E0" w:sz="1"/>
              <w:bottom w:val="single" w:color="E0E0E0" w:sz="1"/>
              <w:right w:val="single" w:color="E0E0E0" w:sz="1"/>
            </w:tcBorders>
            <w:shd w:fill="002855" w:val="clear"/>
            <w:tcMar>
              <w:top w:type="dxa" w:w="80"/>
              <w:left w:type="dxa" w:w="120"/>
              <w:bottom w:type="dxa" w:w="80"/>
              <w:right w:type="dxa" w:w="120"/>
            </w:tcMar>
          </w:tcPr>
          <w:p>
            <w:r>
              <w:rPr>
                <w:rFonts w:ascii="Arial" w:cs="Arial" w:eastAsia="Arial" w:hAnsi="Arial"/>
                <w:b/>
                <w:bCs/>
                <w:color w:val="FFFFFF"/>
                <w:sz w:val="20"/>
                <w:szCs w:val="20"/>
              </w:rPr>
              <w:t xml:space="preserve">Casting Type</w:t>
            </w:r>
          </w:p>
        </w:tc>
        <w:tc>
          <w:tcPr>
            <w:tcW w:type="dxa" w:w="3120"/>
            <w:tcBorders>
              <w:top w:val="single" w:color="E0E0E0" w:sz="1"/>
              <w:left w:val="single" w:color="E0E0E0" w:sz="1"/>
              <w:bottom w:val="single" w:color="E0E0E0" w:sz="1"/>
              <w:right w:val="single" w:color="E0E0E0" w:sz="1"/>
            </w:tcBorders>
            <w:shd w:fill="002855" w:val="clear"/>
            <w:tcMar>
              <w:top w:type="dxa" w:w="80"/>
              <w:left w:type="dxa" w:w="120"/>
              <w:bottom w:type="dxa" w:w="80"/>
              <w:right w:type="dxa" w:w="120"/>
            </w:tcMar>
          </w:tcPr>
          <w:p>
            <w:r>
              <w:rPr>
                <w:rFonts w:ascii="Arial" w:cs="Arial" w:eastAsia="Arial" w:hAnsi="Arial"/>
                <w:b/>
                <w:bCs/>
                <w:color w:val="FFFFFF"/>
                <w:sz w:val="20"/>
                <w:szCs w:val="20"/>
              </w:rPr>
              <w:t xml:space="preserve">Alloys Demonstrated</w:t>
            </w:r>
          </w:p>
        </w:tc>
        <w:tc>
          <w:tcPr>
            <w:tcW w:type="dxa" w:w="3120"/>
            <w:tcBorders>
              <w:top w:val="single" w:color="E0E0E0" w:sz="1"/>
              <w:left w:val="single" w:color="E0E0E0" w:sz="1"/>
              <w:bottom w:val="single" w:color="E0E0E0" w:sz="1"/>
              <w:right w:val="single" w:color="E0E0E0" w:sz="1"/>
            </w:tcBorders>
            <w:shd w:fill="002855" w:val="clear"/>
            <w:tcMar>
              <w:top w:type="dxa" w:w="80"/>
              <w:left w:type="dxa" w:w="120"/>
              <w:bottom w:type="dxa" w:w="80"/>
              <w:right w:type="dxa" w:w="120"/>
            </w:tcMar>
          </w:tcPr>
          <w:p>
            <w:r>
              <w:rPr>
                <w:rFonts w:ascii="Arial" w:cs="Arial" w:eastAsia="Arial" w:hAnsi="Arial"/>
                <w:b/>
                <w:bCs/>
                <w:color w:val="FFFFFF"/>
                <w:sz w:val="20"/>
                <w:szCs w:val="20"/>
              </w:rPr>
              <w:t xml:space="preserve">Applications</w:t>
            </w:r>
          </w:p>
        </w:tc>
      </w:tr>
      <w:tr>
        <w:tc>
          <w:tcPr>
            <w:tcW w:type="dxa" w:w="3120"/>
            <w:tcBorders>
              <w:top w:val="single" w:color="E0E0E0" w:sz="1"/>
              <w:left w:val="single" w:color="E0E0E0" w:sz="1"/>
              <w:bottom w:val="single" w:color="E0E0E0" w:sz="1"/>
              <w:right w:val="single" w:color="E0E0E0" w:sz="1"/>
            </w:tcBorders>
            <w:shd w:fill="FFFFFF" w:val="clear"/>
            <w:tcMar>
              <w:top w:type="dxa" w:w="80"/>
              <w:left w:type="dxa" w:w="120"/>
              <w:bottom w:type="dxa" w:w="80"/>
              <w:right w:type="dxa" w:w="120"/>
            </w:tcMar>
          </w:tcPr>
          <w:p>
            <w:r>
              <w:rPr>
                <w:rFonts w:ascii="Arial" w:cs="Arial" w:eastAsia="Arial" w:hAnsi="Arial"/>
                <w:sz w:val="20"/>
                <w:szCs w:val="20"/>
              </w:rPr>
              <w:t xml:space="preserve">Single Crystal (SX)</w:t>
            </w:r>
          </w:p>
        </w:tc>
        <w:tc>
          <w:tcPr>
            <w:tcW w:type="dxa" w:w="3120"/>
            <w:tcBorders>
              <w:top w:val="single" w:color="E0E0E0" w:sz="1"/>
              <w:left w:val="single" w:color="E0E0E0" w:sz="1"/>
              <w:bottom w:val="single" w:color="E0E0E0" w:sz="1"/>
              <w:right w:val="single" w:color="E0E0E0" w:sz="1"/>
            </w:tcBorders>
            <w:shd w:fill="FFFFFF" w:val="clear"/>
            <w:tcMar>
              <w:top w:type="dxa" w:w="80"/>
              <w:left w:type="dxa" w:w="120"/>
              <w:bottom w:type="dxa" w:w="80"/>
              <w:right w:type="dxa" w:w="120"/>
            </w:tcMar>
          </w:tcPr>
          <w:p>
            <w:r>
              <w:rPr>
                <w:rFonts w:ascii="Arial" w:cs="Arial" w:eastAsia="Arial" w:hAnsi="Arial"/>
                <w:sz w:val="20"/>
                <w:szCs w:val="20"/>
              </w:rPr>
              <w:t xml:space="preserve">CMSX-4, René N5</w:t>
            </w:r>
          </w:p>
        </w:tc>
        <w:tc>
          <w:tcPr>
            <w:tcW w:type="dxa" w:w="3120"/>
            <w:tcBorders>
              <w:top w:val="single" w:color="E0E0E0" w:sz="1"/>
              <w:left w:val="single" w:color="E0E0E0" w:sz="1"/>
              <w:bottom w:val="single" w:color="E0E0E0" w:sz="1"/>
              <w:right w:val="single" w:color="E0E0E0" w:sz="1"/>
            </w:tcBorders>
            <w:shd w:fill="FFFFFF" w:val="clear"/>
            <w:tcMar>
              <w:top w:type="dxa" w:w="80"/>
              <w:left w:type="dxa" w:w="120"/>
              <w:bottom w:type="dxa" w:w="80"/>
              <w:right w:type="dxa" w:w="120"/>
            </w:tcMar>
          </w:tcPr>
          <w:p>
            <w:r>
              <w:rPr>
                <w:rFonts w:ascii="Arial" w:cs="Arial" w:eastAsia="Arial" w:hAnsi="Arial"/>
                <w:sz w:val="20"/>
                <w:szCs w:val="20"/>
              </w:rPr>
              <w:t xml:space="preserve">First-stage turbine blades, highest temperature capability</w:t>
            </w:r>
          </w:p>
        </w:tc>
      </w:tr>
      <w:tr>
        <w:tc>
          <w:tcPr>
            <w:tcW w:type="dxa" w:w="3120"/>
            <w:tcBorders>
              <w:top w:val="single" w:color="E0E0E0" w:sz="1"/>
              <w:left w:val="single" w:color="E0E0E0" w:sz="1"/>
              <w:bottom w:val="single" w:color="E0E0E0" w:sz="1"/>
              <w:right w:val="single" w:color="E0E0E0" w:sz="1"/>
            </w:tcBorders>
            <w:shd w:fill="F5F7FA" w:val="clear"/>
            <w:tcMar>
              <w:top w:type="dxa" w:w="80"/>
              <w:left w:type="dxa" w:w="120"/>
              <w:bottom w:type="dxa" w:w="80"/>
              <w:right w:type="dxa" w:w="120"/>
            </w:tcMar>
          </w:tcPr>
          <w:p>
            <w:r>
              <w:rPr>
                <w:rFonts w:ascii="Arial" w:cs="Arial" w:eastAsia="Arial" w:hAnsi="Arial"/>
                <w:sz w:val="20"/>
                <w:szCs w:val="20"/>
              </w:rPr>
              <w:t xml:space="preserve">Directionally Solidified (DS)</w:t>
            </w:r>
          </w:p>
        </w:tc>
        <w:tc>
          <w:tcPr>
            <w:tcW w:type="dxa" w:w="3120"/>
            <w:tcBorders>
              <w:top w:val="single" w:color="E0E0E0" w:sz="1"/>
              <w:left w:val="single" w:color="E0E0E0" w:sz="1"/>
              <w:bottom w:val="single" w:color="E0E0E0" w:sz="1"/>
              <w:right w:val="single" w:color="E0E0E0" w:sz="1"/>
            </w:tcBorders>
            <w:shd w:fill="F5F7FA" w:val="clear"/>
            <w:tcMar>
              <w:top w:type="dxa" w:w="80"/>
              <w:left w:type="dxa" w:w="120"/>
              <w:bottom w:type="dxa" w:w="80"/>
              <w:right w:type="dxa" w:w="120"/>
            </w:tcMar>
          </w:tcPr>
          <w:p>
            <w:r>
              <w:rPr>
                <w:rFonts w:ascii="Arial" w:cs="Arial" w:eastAsia="Arial" w:hAnsi="Arial"/>
                <w:sz w:val="20"/>
                <w:szCs w:val="20"/>
              </w:rPr>
              <w:t xml:space="preserve">René 141, René 80, René 142</w:t>
            </w:r>
          </w:p>
        </w:tc>
        <w:tc>
          <w:tcPr>
            <w:tcW w:type="dxa" w:w="3120"/>
            <w:tcBorders>
              <w:top w:val="single" w:color="E0E0E0" w:sz="1"/>
              <w:left w:val="single" w:color="E0E0E0" w:sz="1"/>
              <w:bottom w:val="single" w:color="E0E0E0" w:sz="1"/>
              <w:right w:val="single" w:color="E0E0E0" w:sz="1"/>
            </w:tcBorders>
            <w:shd w:fill="F5F7FA" w:val="clear"/>
            <w:tcMar>
              <w:top w:type="dxa" w:w="80"/>
              <w:left w:type="dxa" w:w="120"/>
              <w:bottom w:type="dxa" w:w="80"/>
              <w:right w:type="dxa" w:w="120"/>
            </w:tcMar>
          </w:tcPr>
          <w:p>
            <w:r>
              <w:rPr>
                <w:rFonts w:ascii="Arial" w:cs="Arial" w:eastAsia="Arial" w:hAnsi="Arial"/>
                <w:sz w:val="20"/>
                <w:szCs w:val="20"/>
              </w:rPr>
              <w:t xml:space="preserve">Turbine blades and vanes, creep resistance</w:t>
            </w:r>
          </w:p>
        </w:tc>
      </w:tr>
      <w:tr>
        <w:tc>
          <w:tcPr>
            <w:tcW w:type="dxa" w:w="3120"/>
            <w:tcBorders>
              <w:top w:val="single" w:color="E0E0E0" w:sz="1"/>
              <w:left w:val="single" w:color="E0E0E0" w:sz="1"/>
              <w:bottom w:val="single" w:color="E0E0E0" w:sz="1"/>
              <w:right w:val="single" w:color="E0E0E0" w:sz="1"/>
            </w:tcBorders>
            <w:shd w:fill="FFFFFF" w:val="clear"/>
            <w:tcMar>
              <w:top w:type="dxa" w:w="80"/>
              <w:left w:type="dxa" w:w="120"/>
              <w:bottom w:type="dxa" w:w="80"/>
              <w:right w:type="dxa" w:w="120"/>
            </w:tcMar>
          </w:tcPr>
          <w:p>
            <w:r>
              <w:rPr>
                <w:rFonts w:ascii="Arial" w:cs="Arial" w:eastAsia="Arial" w:hAnsi="Arial"/>
                <w:sz w:val="20"/>
                <w:szCs w:val="20"/>
              </w:rPr>
              <w:t xml:space="preserve">Equiaxed Superalloy</w:t>
            </w:r>
          </w:p>
        </w:tc>
        <w:tc>
          <w:tcPr>
            <w:tcW w:type="dxa" w:w="3120"/>
            <w:tcBorders>
              <w:top w:val="single" w:color="E0E0E0" w:sz="1"/>
              <w:left w:val="single" w:color="E0E0E0" w:sz="1"/>
              <w:bottom w:val="single" w:color="E0E0E0" w:sz="1"/>
              <w:right w:val="single" w:color="E0E0E0" w:sz="1"/>
            </w:tcBorders>
            <w:shd w:fill="FFFFFF" w:val="clear"/>
            <w:tcMar>
              <w:top w:type="dxa" w:w="80"/>
              <w:left w:type="dxa" w:w="120"/>
              <w:bottom w:type="dxa" w:w="80"/>
              <w:right w:type="dxa" w:w="120"/>
            </w:tcMar>
          </w:tcPr>
          <w:p>
            <w:r>
              <w:rPr>
                <w:rFonts w:ascii="Arial" w:cs="Arial" w:eastAsia="Arial" w:hAnsi="Arial"/>
                <w:sz w:val="20"/>
                <w:szCs w:val="20"/>
              </w:rPr>
              <w:t xml:space="preserve">IN 625, IN 718, IN 713LC, MAR-M247, IN100</w:t>
            </w:r>
          </w:p>
        </w:tc>
        <w:tc>
          <w:tcPr>
            <w:tcW w:type="dxa" w:w="3120"/>
            <w:tcBorders>
              <w:top w:val="single" w:color="E0E0E0" w:sz="1"/>
              <w:left w:val="single" w:color="E0E0E0" w:sz="1"/>
              <w:bottom w:val="single" w:color="E0E0E0" w:sz="1"/>
              <w:right w:val="single" w:color="E0E0E0" w:sz="1"/>
            </w:tcBorders>
            <w:shd w:fill="FFFFFF" w:val="clear"/>
            <w:tcMar>
              <w:top w:type="dxa" w:w="80"/>
              <w:left w:type="dxa" w:w="120"/>
              <w:bottom w:type="dxa" w:w="80"/>
              <w:right w:type="dxa" w:w="120"/>
            </w:tcMar>
          </w:tcPr>
          <w:p>
            <w:r>
              <w:rPr>
                <w:rFonts w:ascii="Arial" w:cs="Arial" w:eastAsia="Arial" w:hAnsi="Arial"/>
                <w:sz w:val="20"/>
                <w:szCs w:val="20"/>
              </w:rPr>
              <w:t xml:space="preserve">Structural turbine components, casings, diffusers</w:t>
            </w:r>
          </w:p>
        </w:tc>
      </w:tr>
    </w:tbl>
    <w:p>
      <w:pPr>
        <w:spacing w:after="100"/>
      </w:pPr>
    </w:p>
    <w:p>
      <w:pPr>
        <w:pStyle w:val="Heading2"/>
        <w:spacing w:before="300" w:after="160"/>
      </w:pPr>
      <w:r>
        <w:rPr>
          <w:rFonts w:ascii="Arial" w:cs="Arial" w:eastAsia="Arial" w:hAnsi="Arial"/>
          <w:b/>
          <w:bCs/>
          <w:color w:val="002855"/>
          <w:sz w:val="30"/>
          <w:szCs w:val="30"/>
        </w:rPr>
        <w:t xml:space="preserve">Cast-In Cooling Features</w:t>
      </w:r>
    </w:p>
    <w:p>
      <w:pPr>
        <w:spacing w:after="200" w:line="300"/>
      </w:pPr>
      <w:r>
        <w:rPr>
          <w:rFonts w:ascii="Arial" w:cs="Arial" w:eastAsia="Arial" w:hAnsi="Arial"/>
          <w:sz w:val="22"/>
          <w:szCs w:val="22"/>
        </w:rPr>
        <w:t xml:space="preserve">LAMP™ technology enables the production of ceramic shells with cast-in film cooling holes on leading edges and pressure sides of airfoils. These holes, which are critical to turbine blade thermal management, are notoriously difficult and expensive to produce using traditional core tooling methods.</w:t>
      </w:r>
    </w:p>
    <w:p>
      <w:pPr>
        <w:spacing w:after="200" w:line="300"/>
      </w:pPr>
      <w:r>
        <w:rPr>
          <w:rFonts w:ascii="Arial" w:cs="Arial" w:eastAsia="Arial" w:hAnsi="Arial"/>
          <w:sz w:val="22"/>
          <w:szCs w:val="22"/>
        </w:rPr>
        <w:t xml:space="preserve">DDM has demonstrated the production of an industrial gas turbine blade in DS René 141 with single-crystal casting capability, cast-in film cooling holes, and integrated cores for internal cooling passages. This represents the full spectrum of turbine casting complexity addressed in a single printed shell.</w:t>
      </w:r>
    </w:p>
    <w:p>
      <w:r>
        <w:br w:type="page"/>
      </w:r>
    </w:p>
    <w:p>
      <w:pPr>
        <w:pStyle w:val="Heading1"/>
        <w:spacing w:before="360" w:after="200"/>
      </w:pPr>
      <w:r>
        <w:rPr>
          <w:rFonts w:ascii="Arial" w:cs="Arial" w:eastAsia="Arial" w:hAnsi="Arial"/>
          <w:b/>
          <w:bCs/>
          <w:color w:val="002855"/>
          <w:sz w:val="40"/>
          <w:szCs w:val="40"/>
        </w:rPr>
        <w:t xml:space="preserve">The GE Partnership</w:t>
      </w:r>
    </w:p>
    <w:p>
      <w:pPr>
        <w:spacing w:after="200" w:line="300"/>
      </w:pPr>
      <w:r>
        <w:rPr>
          <w:rFonts w:ascii="Arial" w:cs="Arial" w:eastAsia="Arial" w:hAnsi="Arial"/>
          <w:sz w:val="22"/>
          <w:szCs w:val="22"/>
        </w:rPr>
        <w:t xml:space="preserve">DDM’s decade-long collaboration with GE represents one of the most significant validation points for ceramic 3D printing in turbine applications.</w:t>
      </w:r>
    </w:p>
    <w:p>
      <w:pPr>
        <w:spacing w:after="100"/>
      </w:pPr>
    </w:p>
    <w:p>
      <w:pPr>
        <w:pStyle w:val="Heading2"/>
        <w:spacing w:before="300" w:after="160"/>
      </w:pPr>
      <w:r>
        <w:rPr>
          <w:rFonts w:ascii="Arial" w:cs="Arial" w:eastAsia="Arial" w:hAnsi="Arial"/>
          <w:b/>
          <w:bCs/>
          <w:color w:val="002855"/>
          <w:sz w:val="30"/>
          <w:szCs w:val="30"/>
        </w:rPr>
        <w:t xml:space="preserve">ARPA-E Joint Project</w:t>
      </w:r>
    </w:p>
    <w:p>
      <w:pPr>
        <w:spacing w:after="200" w:line="300"/>
      </w:pPr>
      <w:r>
        <w:rPr>
          <w:rFonts w:ascii="Arial" w:cs="Arial" w:eastAsia="Arial" w:hAnsi="Arial"/>
          <w:sz w:val="22"/>
          <w:szCs w:val="22"/>
        </w:rPr>
        <w:t xml:space="preserve">DDM and GE Vernova (formerly GE Gas Power / GE Global Research) received a $3.3 million ARPA-E OPEN 2021 award for "Manufacturing High-Yield Investment Castings with Minimal Energy." This project focuses on demonstrating high-yield casting of turbine components using LAMP™-printed ceramic shells, with validated energy savings of up to 90% compared to conventional processes.</w:t>
      </w:r>
    </w:p>
    <w:p>
      <w:pPr>
        <w:spacing w:after="100"/>
      </w:pPr>
    </w:p>
    <w:p>
      <w:pPr>
        <w:pStyle w:val="Heading2"/>
        <w:spacing w:before="300" w:after="160"/>
      </w:pPr>
      <w:r>
        <w:rPr>
          <w:rFonts w:ascii="Arial" w:cs="Arial" w:eastAsia="Arial" w:hAnsi="Arial"/>
          <w:b/>
          <w:bCs/>
          <w:color w:val="002855"/>
          <w:sz w:val="30"/>
          <w:szCs w:val="30"/>
        </w:rPr>
        <w:t xml:space="preserve">Over a Decade of Collaboration</w:t>
      </w:r>
    </w:p>
    <w:p>
      <w:pPr>
        <w:spacing w:after="200" w:line="300"/>
      </w:pPr>
      <w:r>
        <w:rPr>
          <w:rFonts w:ascii="Arial" w:cs="Arial" w:eastAsia="Arial" w:hAnsi="Arial"/>
          <w:sz w:val="22"/>
          <w:szCs w:val="22"/>
        </w:rPr>
        <w:t xml:space="preserve">The GE-DDM relationship spans more than 10 years of joint development, testing, and qualification of ceramic 3D printed shells for gas turbine applications. This extended collaboration has produced extensive data on shell performance, casting quality, and process reliability at production-relevant scales.</w:t>
      </w:r>
    </w:p>
    <w:p>
      <w:pPr>
        <w:spacing w:after="100"/>
      </w:pPr>
    </w:p>
    <w:tbl>
      <w:tblPr>
        <w:tblW w:type="pct" w:w="10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0066B3" w:sz="1"/>
              <w:left w:val="single" w:color="002855" w:sz="6"/>
              <w:bottom w:val="single" w:color="0066B3" w:sz="1"/>
              <w:right w:val="single" w:color="0066B3" w:sz="1"/>
            </w:tcBorders>
            <w:shd w:fill="F5F7FA" w:val="clear"/>
            <w:tcMar>
              <w:top w:type="dxa" w:w="160"/>
              <w:left w:type="dxa" w:w="240"/>
              <w:bottom w:type="dxa" w:w="160"/>
              <w:right w:type="dxa" w:w="240"/>
            </w:tcMar>
          </w:tcPr>
          <w:p>
            <w:pPr>
              <w:spacing w:after="80"/>
            </w:pPr>
            <w:r>
              <w:rPr>
                <w:rFonts w:ascii="Arial" w:cs="Arial" w:eastAsia="Arial" w:hAnsi="Arial"/>
                <w:b/>
                <w:bCs/>
                <w:color w:val="002855"/>
                <w:sz w:val="24"/>
                <w:szCs w:val="24"/>
              </w:rPr>
              <w:t xml:space="preserve">Industry Recognition</w:t>
            </w:r>
          </w:p>
          <w:p>
            <w:pPr>
              <w:spacing w:after="0"/>
            </w:pPr>
            <w:r>
              <w:rPr>
                <w:rFonts w:ascii="Arial" w:cs="Arial" w:eastAsia="Arial" w:hAnsi="Arial"/>
                <w:color w:val="1A1A2E"/>
                <w:sz w:val="22"/>
                <w:szCs w:val="22"/>
              </w:rPr>
              <w:t xml:space="preserve">Jon Schaeffer, Senior Manager of Advanced Materials and Processes Engineering at GE, has stated that DDM has created a technology that is difficult to replicate even with the advent of many 3D printing businesses and modalities. GE is proud to work with DDM on several high-technology castings for their Power business.</w:t>
            </w:r>
          </w:p>
        </w:tc>
      </w:tr>
    </w:tbl>
    <w:p>
      <w:r>
        <w:br w:type="page"/>
      </w:r>
    </w:p>
    <w:p>
      <w:pPr>
        <w:pStyle w:val="Heading1"/>
        <w:spacing w:before="360" w:after="200"/>
      </w:pPr>
      <w:r>
        <w:rPr>
          <w:rFonts w:ascii="Arial" w:cs="Arial" w:eastAsia="Arial" w:hAnsi="Arial"/>
          <w:b/>
          <w:bCs/>
          <w:color w:val="002855"/>
          <w:sz w:val="40"/>
          <w:szCs w:val="40"/>
        </w:rPr>
        <w:t xml:space="preserve">The America Makes IMPACT Program</w:t>
      </w:r>
    </w:p>
    <w:p>
      <w:pPr>
        <w:spacing w:after="200" w:line="300"/>
      </w:pPr>
      <w:r>
        <w:rPr>
          <w:rFonts w:ascii="Arial" w:cs="Arial" w:eastAsia="Arial" w:hAnsi="Arial"/>
          <w:sz w:val="22"/>
          <w:szCs w:val="22"/>
        </w:rPr>
        <w:t xml:space="preserve">DDM’s turbine casting capabilities have also been validated through the America Makes IMPACT program, a U.S. Air Force initiative to mature advanced manufacturing technologies for defense sustainment.</w:t>
      </w:r>
    </w:p>
    <w:p>
      <w:pPr>
        <w:spacing w:after="100"/>
      </w:pPr>
    </w:p>
    <w:p>
      <w:pPr>
        <w:pStyle w:val="Heading2"/>
        <w:spacing w:before="300" w:after="160"/>
      </w:pPr>
      <w:r>
        <w:rPr>
          <w:rFonts w:ascii="Arial" w:cs="Arial" w:eastAsia="Arial" w:hAnsi="Arial"/>
          <w:b/>
          <w:bCs/>
          <w:color w:val="002855"/>
          <w:sz w:val="30"/>
          <w:szCs w:val="30"/>
        </w:rPr>
        <w:t xml:space="preserve">IMPACT 1.0</w:t>
      </w:r>
    </w:p>
    <w:p>
      <w:pPr>
        <w:spacing w:after="200" w:line="300"/>
      </w:pPr>
      <w:r>
        <w:rPr>
          <w:rFonts w:ascii="Arial" w:cs="Arial" w:eastAsia="Arial" w:hAnsi="Arial"/>
          <w:sz w:val="22"/>
          <w:szCs w:val="22"/>
        </w:rPr>
        <w:t xml:space="preserve">DDM received $1.8 million as part of an $11.7 million program for AFRL projects in 2023. This work focused on maturing ceramic 3D printing technology for Air Force sustainment operations, in collaboration with the 76th CMXG at Tinker Air Force Base.</w:t>
      </w:r>
    </w:p>
    <w:p>
      <w:pPr>
        <w:spacing w:after="100"/>
      </w:pPr>
    </w:p>
    <w:p>
      <w:pPr>
        <w:pStyle w:val="Heading2"/>
        <w:spacing w:before="300" w:after="160"/>
      </w:pPr>
      <w:r>
        <w:rPr>
          <w:rFonts w:ascii="Arial" w:cs="Arial" w:eastAsia="Arial" w:hAnsi="Arial"/>
          <w:b/>
          <w:bCs/>
          <w:color w:val="002855"/>
          <w:sz w:val="30"/>
          <w:szCs w:val="30"/>
        </w:rPr>
        <w:t xml:space="preserve">IMPACT 2.0</w:t>
      </w:r>
    </w:p>
    <w:p>
      <w:pPr>
        <w:spacing w:after="200" w:line="300"/>
      </w:pPr>
      <w:r>
        <w:rPr>
          <w:rFonts w:ascii="Arial" w:cs="Arial" w:eastAsia="Arial" w:hAnsi="Arial"/>
          <w:sz w:val="22"/>
          <w:szCs w:val="22"/>
        </w:rPr>
        <w:t xml:space="preserve">In 2025, DDM was awarded $500,000 through the Rapid Casting Demonstration Challenge, further validating the readiness of LAMP™ technology for defense turbine applications.</w:t>
      </w:r>
    </w:p>
    <w:p>
      <w:r>
        <w:br w:type="page"/>
      </w:r>
    </w:p>
    <w:p>
      <w:pPr>
        <w:pStyle w:val="Heading1"/>
        <w:spacing w:before="360" w:after="200"/>
      </w:pPr>
      <w:r>
        <w:rPr>
          <w:rFonts w:ascii="Arial" w:cs="Arial" w:eastAsia="Arial" w:hAnsi="Arial"/>
          <w:b/>
          <w:bCs/>
          <w:color w:val="002855"/>
          <w:sz w:val="40"/>
          <w:szCs w:val="40"/>
        </w:rPr>
        <w:t xml:space="preserve">Market Opportunity</w:t>
      </w:r>
    </w:p>
    <w:p>
      <w:pPr>
        <w:spacing w:after="200" w:line="300"/>
      </w:pPr>
      <w:r>
        <w:rPr>
          <w:rFonts w:ascii="Arial" w:cs="Arial" w:eastAsia="Arial" w:hAnsi="Arial"/>
          <w:sz w:val="22"/>
          <w:szCs w:val="22"/>
        </w:rPr>
        <w:t xml:space="preserve">The turbine component casting market is driven by both commercial aerospace growth and defense modernization.</w:t>
      </w:r>
    </w:p>
    <w:p>
      <w:pPr>
        <w:spacing w:after="100"/>
      </w:pPr>
    </w:p>
    <w:tbl>
      <w:tblPr>
        <w:tblW w:type="pct" w:w="100%"/>
        <w:tblBorders>
          <w:top w:val="single" w:color="auto" w:sz="4"/>
          <w:left w:val="single" w:color="auto" w:sz="4"/>
          <w:bottom w:val="single" w:color="auto" w:sz="4"/>
          <w:right w:val="single" w:color="auto" w:sz="4"/>
          <w:insideH w:val="single" w:color="auto" w:sz="4"/>
          <w:insideV w:val="single" w:color="auto" w:sz="4"/>
        </w:tblBorders>
      </w:tblPr>
      <w:tblGrid>
        <w:gridCol w:w="3120"/>
        <w:gridCol w:w="3120"/>
        <w:gridCol w:w="3120"/>
      </w:tblGrid>
      <w:tr>
        <w:tc>
          <w:tcPr>
            <w:tcW w:type="dxa" w:w="3120"/>
            <w:tcBorders>
              <w:top w:val="single" w:color="E0E0E0" w:sz="1"/>
              <w:left w:val="single" w:color="E0E0E0" w:sz="1"/>
              <w:bottom w:val="single" w:color="E0E0E0" w:sz="1"/>
              <w:right w:val="single" w:color="E0E0E0" w:sz="1"/>
            </w:tcBorders>
            <w:shd w:fill="002855" w:val="clear"/>
            <w:tcMar>
              <w:top w:type="dxa" w:w="80"/>
              <w:left w:type="dxa" w:w="120"/>
              <w:bottom w:type="dxa" w:w="80"/>
              <w:right w:type="dxa" w:w="120"/>
            </w:tcMar>
          </w:tcPr>
          <w:p>
            <w:r>
              <w:rPr>
                <w:rFonts w:ascii="Arial" w:cs="Arial" w:eastAsia="Arial" w:hAnsi="Arial"/>
                <w:b/>
                <w:bCs/>
                <w:color w:val="FFFFFF"/>
                <w:sz w:val="20"/>
                <w:szCs w:val="20"/>
              </w:rPr>
              <w:t xml:space="preserve">Market Segment</w:t>
            </w:r>
          </w:p>
        </w:tc>
        <w:tc>
          <w:tcPr>
            <w:tcW w:type="dxa" w:w="3120"/>
            <w:tcBorders>
              <w:top w:val="single" w:color="E0E0E0" w:sz="1"/>
              <w:left w:val="single" w:color="E0E0E0" w:sz="1"/>
              <w:bottom w:val="single" w:color="E0E0E0" w:sz="1"/>
              <w:right w:val="single" w:color="E0E0E0" w:sz="1"/>
            </w:tcBorders>
            <w:shd w:fill="002855" w:val="clear"/>
            <w:tcMar>
              <w:top w:type="dxa" w:w="80"/>
              <w:left w:type="dxa" w:w="120"/>
              <w:bottom w:type="dxa" w:w="80"/>
              <w:right w:type="dxa" w:w="120"/>
            </w:tcMar>
          </w:tcPr>
          <w:p>
            <w:r>
              <w:rPr>
                <w:rFonts w:ascii="Arial" w:cs="Arial" w:eastAsia="Arial" w:hAnsi="Arial"/>
                <w:b/>
                <w:bCs/>
                <w:color w:val="FFFFFF"/>
                <w:sz w:val="20"/>
                <w:szCs w:val="20"/>
              </w:rPr>
              <w:t xml:space="preserve">Size / Growth</w:t>
            </w:r>
          </w:p>
        </w:tc>
        <w:tc>
          <w:tcPr>
            <w:tcW w:type="dxa" w:w="3120"/>
            <w:tcBorders>
              <w:top w:val="single" w:color="E0E0E0" w:sz="1"/>
              <w:left w:val="single" w:color="E0E0E0" w:sz="1"/>
              <w:bottom w:val="single" w:color="E0E0E0" w:sz="1"/>
              <w:right w:val="single" w:color="E0E0E0" w:sz="1"/>
            </w:tcBorders>
            <w:shd w:fill="002855" w:val="clear"/>
            <w:tcMar>
              <w:top w:type="dxa" w:w="80"/>
              <w:left w:type="dxa" w:w="120"/>
              <w:bottom w:type="dxa" w:w="80"/>
              <w:right w:type="dxa" w:w="120"/>
            </w:tcMar>
          </w:tcPr>
          <w:p>
            <w:r>
              <w:rPr>
                <w:rFonts w:ascii="Arial" w:cs="Arial" w:eastAsia="Arial" w:hAnsi="Arial"/>
                <w:b/>
                <w:bCs/>
                <w:color w:val="FFFFFF"/>
                <w:sz w:val="20"/>
                <w:szCs w:val="20"/>
              </w:rPr>
              <w:t xml:space="preserve">DDM Relevance</w:t>
            </w:r>
          </w:p>
        </w:tc>
      </w:tr>
      <w:tr>
        <w:tc>
          <w:tcPr>
            <w:tcW w:type="dxa" w:w="3120"/>
            <w:tcBorders>
              <w:top w:val="single" w:color="E0E0E0" w:sz="1"/>
              <w:left w:val="single" w:color="E0E0E0" w:sz="1"/>
              <w:bottom w:val="single" w:color="E0E0E0" w:sz="1"/>
              <w:right w:val="single" w:color="E0E0E0" w:sz="1"/>
            </w:tcBorders>
            <w:shd w:fill="FFFFFF" w:val="clear"/>
            <w:tcMar>
              <w:top w:type="dxa" w:w="80"/>
              <w:left w:type="dxa" w:w="120"/>
              <w:bottom w:type="dxa" w:w="80"/>
              <w:right w:type="dxa" w:w="120"/>
            </w:tcMar>
          </w:tcPr>
          <w:p>
            <w:r>
              <w:rPr>
                <w:rFonts w:ascii="Arial" w:cs="Arial" w:eastAsia="Arial" w:hAnsi="Arial"/>
                <w:sz w:val="20"/>
                <w:szCs w:val="20"/>
              </w:rPr>
              <w:t xml:space="preserve">Global Investment Casting</w:t>
            </w:r>
          </w:p>
        </w:tc>
        <w:tc>
          <w:tcPr>
            <w:tcW w:type="dxa" w:w="3120"/>
            <w:tcBorders>
              <w:top w:val="single" w:color="E0E0E0" w:sz="1"/>
              <w:left w:val="single" w:color="E0E0E0" w:sz="1"/>
              <w:bottom w:val="single" w:color="E0E0E0" w:sz="1"/>
              <w:right w:val="single" w:color="E0E0E0" w:sz="1"/>
            </w:tcBorders>
            <w:shd w:fill="FFFFFF" w:val="clear"/>
            <w:tcMar>
              <w:top w:type="dxa" w:w="80"/>
              <w:left w:type="dxa" w:w="120"/>
              <w:bottom w:type="dxa" w:w="80"/>
              <w:right w:type="dxa" w:w="120"/>
            </w:tcMar>
          </w:tcPr>
          <w:p>
            <w:r>
              <w:rPr>
                <w:rFonts w:ascii="Arial" w:cs="Arial" w:eastAsia="Arial" w:hAnsi="Arial"/>
                <w:sz w:val="20"/>
                <w:szCs w:val="20"/>
              </w:rPr>
              <w:t xml:space="preserve">$16.55B growing to $23B by 2030</w:t>
            </w:r>
          </w:p>
        </w:tc>
        <w:tc>
          <w:tcPr>
            <w:tcW w:type="dxa" w:w="3120"/>
            <w:tcBorders>
              <w:top w:val="single" w:color="E0E0E0" w:sz="1"/>
              <w:left w:val="single" w:color="E0E0E0" w:sz="1"/>
              <w:bottom w:val="single" w:color="E0E0E0" w:sz="1"/>
              <w:right w:val="single" w:color="E0E0E0" w:sz="1"/>
            </w:tcBorders>
            <w:shd w:fill="FFFFFF" w:val="clear"/>
            <w:tcMar>
              <w:top w:type="dxa" w:w="80"/>
              <w:left w:type="dxa" w:w="120"/>
              <w:bottom w:type="dxa" w:w="80"/>
              <w:right w:type="dxa" w:w="120"/>
            </w:tcMar>
          </w:tcPr>
          <w:p>
            <w:r>
              <w:rPr>
                <w:rFonts w:ascii="Arial" w:cs="Arial" w:eastAsia="Arial" w:hAnsi="Arial"/>
                <w:sz w:val="20"/>
                <w:szCs w:val="20"/>
              </w:rPr>
              <w:t xml:space="preserve">Core addressable market</w:t>
            </w:r>
          </w:p>
        </w:tc>
      </w:tr>
      <w:tr>
        <w:tc>
          <w:tcPr>
            <w:tcW w:type="dxa" w:w="3120"/>
            <w:tcBorders>
              <w:top w:val="single" w:color="E0E0E0" w:sz="1"/>
              <w:left w:val="single" w:color="E0E0E0" w:sz="1"/>
              <w:bottom w:val="single" w:color="E0E0E0" w:sz="1"/>
              <w:right w:val="single" w:color="E0E0E0" w:sz="1"/>
            </w:tcBorders>
            <w:shd w:fill="F5F7FA" w:val="clear"/>
            <w:tcMar>
              <w:top w:type="dxa" w:w="80"/>
              <w:left w:type="dxa" w:w="120"/>
              <w:bottom w:type="dxa" w:w="80"/>
              <w:right w:type="dxa" w:w="120"/>
            </w:tcMar>
          </w:tcPr>
          <w:p>
            <w:r>
              <w:rPr>
                <w:rFonts w:ascii="Arial" w:cs="Arial" w:eastAsia="Arial" w:hAnsi="Arial"/>
                <w:sz w:val="20"/>
                <w:szCs w:val="20"/>
              </w:rPr>
              <w:t xml:space="preserve">Aircraft Engine Casting</w:t>
            </w:r>
          </w:p>
        </w:tc>
        <w:tc>
          <w:tcPr>
            <w:tcW w:type="dxa" w:w="3120"/>
            <w:tcBorders>
              <w:top w:val="single" w:color="E0E0E0" w:sz="1"/>
              <w:left w:val="single" w:color="E0E0E0" w:sz="1"/>
              <w:bottom w:val="single" w:color="E0E0E0" w:sz="1"/>
              <w:right w:val="single" w:color="E0E0E0" w:sz="1"/>
            </w:tcBorders>
            <w:shd w:fill="F5F7FA" w:val="clear"/>
            <w:tcMar>
              <w:top w:type="dxa" w:w="80"/>
              <w:left w:type="dxa" w:w="120"/>
              <w:bottom w:type="dxa" w:w="80"/>
              <w:right w:type="dxa" w:w="120"/>
            </w:tcMar>
          </w:tcPr>
          <w:p>
            <w:r>
              <w:rPr>
                <w:rFonts w:ascii="Arial" w:cs="Arial" w:eastAsia="Arial" w:hAnsi="Arial"/>
                <w:sz w:val="20"/>
                <w:szCs w:val="20"/>
              </w:rPr>
              <w:t xml:space="preserve">Subset of aerospace, high growth</w:t>
            </w:r>
          </w:p>
        </w:tc>
        <w:tc>
          <w:tcPr>
            <w:tcW w:type="dxa" w:w="3120"/>
            <w:tcBorders>
              <w:top w:val="single" w:color="E0E0E0" w:sz="1"/>
              <w:left w:val="single" w:color="E0E0E0" w:sz="1"/>
              <w:bottom w:val="single" w:color="E0E0E0" w:sz="1"/>
              <w:right w:val="single" w:color="E0E0E0" w:sz="1"/>
            </w:tcBorders>
            <w:shd w:fill="F5F7FA" w:val="clear"/>
            <w:tcMar>
              <w:top w:type="dxa" w:w="80"/>
              <w:left w:type="dxa" w:w="120"/>
              <w:bottom w:type="dxa" w:w="80"/>
              <w:right w:type="dxa" w:w="120"/>
            </w:tcMar>
          </w:tcPr>
          <w:p>
            <w:r>
              <w:rPr>
                <w:rFonts w:ascii="Arial" w:cs="Arial" w:eastAsia="Arial" w:hAnsi="Arial"/>
                <w:sz w:val="20"/>
                <w:szCs w:val="20"/>
              </w:rPr>
              <w:t xml:space="preserve">Primary target for SX/DS capabilities</w:t>
            </w:r>
          </w:p>
        </w:tc>
      </w:tr>
      <w:tr>
        <w:tc>
          <w:tcPr>
            <w:tcW w:type="dxa" w:w="3120"/>
            <w:tcBorders>
              <w:top w:val="single" w:color="E0E0E0" w:sz="1"/>
              <w:left w:val="single" w:color="E0E0E0" w:sz="1"/>
              <w:bottom w:val="single" w:color="E0E0E0" w:sz="1"/>
              <w:right w:val="single" w:color="E0E0E0" w:sz="1"/>
            </w:tcBorders>
            <w:shd w:fill="FFFFFF" w:val="clear"/>
            <w:tcMar>
              <w:top w:type="dxa" w:w="80"/>
              <w:left w:type="dxa" w:w="120"/>
              <w:bottom w:type="dxa" w:w="80"/>
              <w:right w:type="dxa" w:w="120"/>
            </w:tcMar>
          </w:tcPr>
          <w:p>
            <w:r>
              <w:rPr>
                <w:rFonts w:ascii="Arial" w:cs="Arial" w:eastAsia="Arial" w:hAnsi="Arial"/>
                <w:sz w:val="20"/>
                <w:szCs w:val="20"/>
              </w:rPr>
              <w:t xml:space="preserve">Industrial Gas Turbines</w:t>
            </w:r>
          </w:p>
        </w:tc>
        <w:tc>
          <w:tcPr>
            <w:tcW w:type="dxa" w:w="3120"/>
            <w:tcBorders>
              <w:top w:val="single" w:color="E0E0E0" w:sz="1"/>
              <w:left w:val="single" w:color="E0E0E0" w:sz="1"/>
              <w:bottom w:val="single" w:color="E0E0E0" w:sz="1"/>
              <w:right w:val="single" w:color="E0E0E0" w:sz="1"/>
            </w:tcBorders>
            <w:shd w:fill="FFFFFF" w:val="clear"/>
            <w:tcMar>
              <w:top w:type="dxa" w:w="80"/>
              <w:left w:type="dxa" w:w="120"/>
              <w:bottom w:type="dxa" w:w="80"/>
              <w:right w:type="dxa" w:w="120"/>
            </w:tcMar>
          </w:tcPr>
          <w:p>
            <w:r>
              <w:rPr>
                <w:rFonts w:ascii="Arial" w:cs="Arial" w:eastAsia="Arial" w:hAnsi="Arial"/>
                <w:sz w:val="20"/>
                <w:szCs w:val="20"/>
              </w:rPr>
              <w:t xml:space="preserve">Growing with energy transition</w:t>
            </w:r>
          </w:p>
        </w:tc>
        <w:tc>
          <w:tcPr>
            <w:tcW w:type="dxa" w:w="3120"/>
            <w:tcBorders>
              <w:top w:val="single" w:color="E0E0E0" w:sz="1"/>
              <w:left w:val="single" w:color="E0E0E0" w:sz="1"/>
              <w:bottom w:val="single" w:color="E0E0E0" w:sz="1"/>
              <w:right w:val="single" w:color="E0E0E0" w:sz="1"/>
            </w:tcBorders>
            <w:shd w:fill="FFFFFF" w:val="clear"/>
            <w:tcMar>
              <w:top w:type="dxa" w:w="80"/>
              <w:left w:type="dxa" w:w="120"/>
              <w:bottom w:type="dxa" w:w="80"/>
              <w:right w:type="dxa" w:w="120"/>
            </w:tcMar>
          </w:tcPr>
          <w:p>
            <w:r>
              <w:rPr>
                <w:rFonts w:ascii="Arial" w:cs="Arial" w:eastAsia="Arial" w:hAnsi="Arial"/>
                <w:sz w:val="20"/>
                <w:szCs w:val="20"/>
              </w:rPr>
              <w:t xml:space="preserve">GE partnership, hydrogen turbine opportunity</w:t>
            </w:r>
          </w:p>
        </w:tc>
      </w:tr>
      <w:tr>
        <w:tc>
          <w:tcPr>
            <w:tcW w:type="dxa" w:w="3120"/>
            <w:tcBorders>
              <w:top w:val="single" w:color="E0E0E0" w:sz="1"/>
              <w:left w:val="single" w:color="E0E0E0" w:sz="1"/>
              <w:bottom w:val="single" w:color="E0E0E0" w:sz="1"/>
              <w:right w:val="single" w:color="E0E0E0" w:sz="1"/>
            </w:tcBorders>
            <w:shd w:fill="F5F7FA" w:val="clear"/>
            <w:tcMar>
              <w:top w:type="dxa" w:w="80"/>
              <w:left w:type="dxa" w:w="120"/>
              <w:bottom w:type="dxa" w:w="80"/>
              <w:right w:type="dxa" w:w="120"/>
            </w:tcMar>
          </w:tcPr>
          <w:p>
            <w:r>
              <w:rPr>
                <w:rFonts w:ascii="Arial" w:cs="Arial" w:eastAsia="Arial" w:hAnsi="Arial"/>
                <w:sz w:val="20"/>
                <w:szCs w:val="20"/>
              </w:rPr>
              <w:t xml:space="preserve">Defense Procurement</w:t>
            </w:r>
          </w:p>
        </w:tc>
        <w:tc>
          <w:tcPr>
            <w:tcW w:type="dxa" w:w="3120"/>
            <w:tcBorders>
              <w:top w:val="single" w:color="E0E0E0" w:sz="1"/>
              <w:left w:val="single" w:color="E0E0E0" w:sz="1"/>
              <w:bottom w:val="single" w:color="E0E0E0" w:sz="1"/>
              <w:right w:val="single" w:color="E0E0E0" w:sz="1"/>
            </w:tcBorders>
            <w:shd w:fill="F5F7FA" w:val="clear"/>
            <w:tcMar>
              <w:top w:type="dxa" w:w="80"/>
              <w:left w:type="dxa" w:w="120"/>
              <w:bottom w:type="dxa" w:w="80"/>
              <w:right w:type="dxa" w:w="120"/>
            </w:tcMar>
          </w:tcPr>
          <w:p>
            <w:r>
              <w:rPr>
                <w:rFonts w:ascii="Arial" w:cs="Arial" w:eastAsia="Arial" w:hAnsi="Arial"/>
                <w:sz w:val="20"/>
                <w:szCs w:val="20"/>
              </w:rPr>
              <w:t xml:space="preserve">$174.4B FY2024</w:t>
            </w:r>
          </w:p>
        </w:tc>
        <w:tc>
          <w:tcPr>
            <w:tcW w:type="dxa" w:w="3120"/>
            <w:tcBorders>
              <w:top w:val="single" w:color="E0E0E0" w:sz="1"/>
              <w:left w:val="single" w:color="E0E0E0" w:sz="1"/>
              <w:bottom w:val="single" w:color="E0E0E0" w:sz="1"/>
              <w:right w:val="single" w:color="E0E0E0" w:sz="1"/>
            </w:tcBorders>
            <w:shd w:fill="F5F7FA" w:val="clear"/>
            <w:tcMar>
              <w:top w:type="dxa" w:w="80"/>
              <w:left w:type="dxa" w:w="120"/>
              <w:bottom w:type="dxa" w:w="80"/>
              <w:right w:type="dxa" w:w="120"/>
            </w:tcMar>
          </w:tcPr>
          <w:p>
            <w:r>
              <w:rPr>
                <w:rFonts w:ascii="Arial" w:cs="Arial" w:eastAsia="Arial" w:hAnsi="Arial"/>
                <w:sz w:val="20"/>
                <w:szCs w:val="20"/>
              </w:rPr>
              <w:t xml:space="preserve">Legacy sustainment + new programs</w:t>
            </w:r>
          </w:p>
        </w:tc>
      </w:tr>
      <w:tr>
        <w:tc>
          <w:tcPr>
            <w:tcW w:type="dxa" w:w="3120"/>
            <w:tcBorders>
              <w:top w:val="single" w:color="E0E0E0" w:sz="1"/>
              <w:left w:val="single" w:color="E0E0E0" w:sz="1"/>
              <w:bottom w:val="single" w:color="E0E0E0" w:sz="1"/>
              <w:right w:val="single" w:color="E0E0E0" w:sz="1"/>
            </w:tcBorders>
            <w:shd w:fill="FFFFFF" w:val="clear"/>
            <w:tcMar>
              <w:top w:type="dxa" w:w="80"/>
              <w:left w:type="dxa" w:w="120"/>
              <w:bottom w:type="dxa" w:w="80"/>
              <w:right w:type="dxa" w:w="120"/>
            </w:tcMar>
          </w:tcPr>
          <w:p>
            <w:r>
              <w:rPr>
                <w:rFonts w:ascii="Arial" w:cs="Arial" w:eastAsia="Arial" w:hAnsi="Arial"/>
                <w:sz w:val="20"/>
                <w:szCs w:val="20"/>
              </w:rPr>
              <w:t xml:space="preserve">Commercial Fleet Growth</w:t>
            </w:r>
          </w:p>
        </w:tc>
        <w:tc>
          <w:tcPr>
            <w:tcW w:type="dxa" w:w="3120"/>
            <w:tcBorders>
              <w:top w:val="single" w:color="E0E0E0" w:sz="1"/>
              <w:left w:val="single" w:color="E0E0E0" w:sz="1"/>
              <w:bottom w:val="single" w:color="E0E0E0" w:sz="1"/>
              <w:right w:val="single" w:color="E0E0E0" w:sz="1"/>
            </w:tcBorders>
            <w:shd w:fill="FFFFFF" w:val="clear"/>
            <w:tcMar>
              <w:top w:type="dxa" w:w="80"/>
              <w:left w:type="dxa" w:w="120"/>
              <w:bottom w:type="dxa" w:w="80"/>
              <w:right w:type="dxa" w:w="120"/>
            </w:tcMar>
          </w:tcPr>
          <w:p>
            <w:r>
              <w:rPr>
                <w:rFonts w:ascii="Arial" w:cs="Arial" w:eastAsia="Arial" w:hAnsi="Arial"/>
                <w:sz w:val="20"/>
                <w:szCs w:val="20"/>
              </w:rPr>
              <w:t xml:space="preserve">28% growth by 2034</w:t>
            </w:r>
          </w:p>
        </w:tc>
        <w:tc>
          <w:tcPr>
            <w:tcW w:type="dxa" w:w="3120"/>
            <w:tcBorders>
              <w:top w:val="single" w:color="E0E0E0" w:sz="1"/>
              <w:left w:val="single" w:color="E0E0E0" w:sz="1"/>
              <w:bottom w:val="single" w:color="E0E0E0" w:sz="1"/>
              <w:right w:val="single" w:color="E0E0E0" w:sz="1"/>
            </w:tcBorders>
            <w:shd w:fill="FFFFFF" w:val="clear"/>
            <w:tcMar>
              <w:top w:type="dxa" w:w="80"/>
              <w:left w:type="dxa" w:w="120"/>
              <w:bottom w:type="dxa" w:w="80"/>
              <w:right w:type="dxa" w:w="120"/>
            </w:tcMar>
          </w:tcPr>
          <w:p>
            <w:r>
              <w:rPr>
                <w:rFonts w:ascii="Arial" w:cs="Arial" w:eastAsia="Arial" w:hAnsi="Arial"/>
                <w:sz w:val="20"/>
                <w:szCs w:val="20"/>
              </w:rPr>
              <w:t xml:space="preserve">Turbine component demand driver</w:t>
            </w:r>
          </w:p>
        </w:tc>
      </w:tr>
    </w:tbl>
    <w:p>
      <w:r>
        <w:br w:type="page"/>
      </w:r>
    </w:p>
    <w:p>
      <w:pPr>
        <w:pStyle w:val="Heading1"/>
        <w:spacing w:before="360" w:after="200"/>
      </w:pPr>
      <w:r>
        <w:rPr>
          <w:rFonts w:ascii="Arial" w:cs="Arial" w:eastAsia="Arial" w:hAnsi="Arial"/>
          <w:b/>
          <w:bCs/>
          <w:color w:val="002855"/>
          <w:sz w:val="40"/>
          <w:szCs w:val="40"/>
        </w:rPr>
        <w:t xml:space="preserve">Conclusion</w:t>
      </w:r>
    </w:p>
    <w:p>
      <w:pPr>
        <w:spacing w:after="200" w:line="300"/>
      </w:pPr>
      <w:r>
        <w:rPr>
          <w:rFonts w:ascii="Arial" w:cs="Arial" w:eastAsia="Arial" w:hAnsi="Arial"/>
          <w:sz w:val="22"/>
          <w:szCs w:val="22"/>
        </w:rPr>
        <w:t xml:space="preserve">Turbine components represent the pinnacle of investment casting complexity. They demand the most advanced alloys, the most intricate geometries, and the most rigorous quality standards in manufacturing.</w:t>
      </w:r>
    </w:p>
    <w:p>
      <w:pPr>
        <w:spacing w:after="200" w:line="300"/>
      </w:pPr>
      <w:r>
        <w:rPr>
          <w:rFonts w:ascii="Arial" w:cs="Arial" w:eastAsia="Arial" w:hAnsi="Arial"/>
          <w:sz w:val="22"/>
          <w:szCs w:val="22"/>
        </w:rPr>
        <w:t xml:space="preserve">DDM Systems’ LAMP™ technology was specifically created to meet this challenge. Developed under DARPA funding, validated through ARPA-E and America Makes programs, and proven through a decade of collaboration with GE, DDM’s ceramic 3D printing capability is purpose-built for turbine applications.</w:t>
      </w:r>
    </w:p>
    <w:p>
      <w:pPr>
        <w:spacing w:after="200" w:line="300"/>
      </w:pPr>
      <w:r>
        <w:rPr>
          <w:rFonts w:ascii="Arial" w:cs="Arial" w:eastAsia="Arial" w:hAnsi="Arial"/>
          <w:sz w:val="22"/>
          <w:szCs w:val="22"/>
        </w:rPr>
        <w:t xml:space="preserve">For turbine OEMs, MRO providers, and defense sustainment programs seeking to compress lead times, eliminate tooling constraints, and access the most advanced casting technology available, the Digital Foundry™ is the answer.</w:t>
      </w:r>
    </w:p>
    <w:p>
      <w:pPr>
        <w:spacing w:after="100"/>
      </w:pPr>
    </w:p>
    <w:tbl>
      <w:tblPr>
        <w:tblW w:type="pct" w:w="10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0066B3" w:sz="1"/>
              <w:left w:val="single" w:color="002855" w:sz="6"/>
              <w:bottom w:val="single" w:color="0066B3" w:sz="1"/>
              <w:right w:val="single" w:color="0066B3" w:sz="1"/>
            </w:tcBorders>
            <w:shd w:fill="F5F7FA" w:val="clear"/>
            <w:tcMar>
              <w:top w:type="dxa" w:w="160"/>
              <w:left w:type="dxa" w:w="240"/>
              <w:bottom w:type="dxa" w:w="160"/>
              <w:right w:type="dxa" w:w="240"/>
            </w:tcMar>
          </w:tcPr>
          <w:p>
            <w:pPr>
              <w:spacing w:after="80"/>
            </w:pPr>
            <w:r>
              <w:rPr>
                <w:rFonts w:ascii="Arial" w:cs="Arial" w:eastAsia="Arial" w:hAnsi="Arial"/>
                <w:b/>
                <w:bCs/>
                <w:color w:val="002855"/>
                <w:sz w:val="24"/>
                <w:szCs w:val="24"/>
              </w:rPr>
              <w:t xml:space="preserve">Turbine Component Inquiries</w:t>
            </w:r>
          </w:p>
          <w:p>
            <w:pPr>
              <w:spacing w:after="0"/>
            </w:pPr>
            <w:r>
              <w:rPr>
                <w:rFonts w:ascii="Arial" w:cs="Arial" w:eastAsia="Arial" w:hAnsi="Arial"/>
                <w:color w:val="1A1A2E"/>
                <w:sz w:val="22"/>
                <w:szCs w:val="22"/>
              </w:rPr>
              <w:t xml:space="preserve">Discuss your turbine casting requirements with DDM’s engineering team.
Dr. Suman Das  |  suman.das@ddmsys.com  |  +1 404-983-4292
www.RapidPrecisionCasting.com  |  470-225-6987</w:t>
            </w:r>
          </w:p>
        </w:tc>
      </w:tr>
    </w:tbl>
    <w:sectPr>
      <w:headerReference w:type="default" r:id="rId6"/>
      <w:footerReference w:type="default" r:id="rId7"/>
      <w:pgSz w:w="12240" w:h="15840"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tbl>
    <w:tblPr>
      <w:tblW w:type="pct" w:w="10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E0E0E0" w:sz="1"/>
            <w:left w:val="none"/>
            <w:bottom w:val="none"/>
            <w:right w:val="none"/>
          </w:tcBorders>
        </w:tcPr>
        <w:p>
          <w:pPr>
            <w:spacing w:after="0"/>
          </w:pPr>
        </w:p>
      </w:tc>
    </w:tr>
  </w:tbl>
  <w:p>
    <w:pPr>
      <w:jc w:val="center"/>
    </w:pPr>
    <w:r>
      <w:rPr>
        <w:rFonts w:ascii="Arial" w:cs="Arial" w:eastAsia="Arial" w:hAnsi="Arial"/>
        <w:color w:val="002855"/>
        <w:sz w:val="16"/>
        <w:szCs w:val="16"/>
      </w:rPr>
      <w:t xml:space="preserve">www.RapidPrecisionCasting.com  |  © 2026 DDM Systems, Inc.  |  Page </w:t>
    </w:r>
    <w:r>
      <w:rPr>
        <w:rFonts w:ascii="Arial" w:cs="Arial" w:eastAsia="Arial" w:hAnsi="Arial"/>
        <w:color w:val="002855"/>
        <w:sz w:val="16"/>
        <w:szCs w:val="16"/>
      </w:rPr>
      <w:fldChar w:fldCharType="begin"/>
      <w:instrText xml:space="preserve">PAGE</w:instrText>
      <w:fldChar w:fldCharType="separate"/>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p>
    <w:pPr>
      <w:jc w:val="right"/>
    </w:pPr>
    <w:r>
      <w:rPr>
        <w:rFonts w:ascii="Arial" w:cs="Arial" w:eastAsia="Arial" w:hAnsi="Arial"/>
        <w:color w:val="002855"/>
        <w:sz w:val="16"/>
        <w:szCs w:val="16"/>
      </w:rPr>
      <w:t xml:space="preserve">DDM Systems  |  </w:t>
    </w:r>
    <w:r>
      <w:rPr>
        <w:rFonts w:ascii="Arial" w:cs="Arial" w:eastAsia="Arial" w:hAnsi="Arial"/>
        <w:i/>
        <w:iCs/>
        <w:color w:val="0066B3"/>
        <w:sz w:val="16"/>
        <w:szCs w:val="16"/>
      </w:rPr>
      <w:t xml:space="preserve">White Paper</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lvl>
  </w:abstractNum>
  <w:abstractNum w:abstractNumId="3" w15:restartNumberingAfterBreak="0">
    <w:multiLevelType w:val="hybridMultilevel"/>
    <w:lvl w:ilvl="0" w15:tentative="1">
      <w:start w:val="1"/>
      <w:numFmt w:val="decimal"/>
      <w:lvlText w:val="%1."/>
      <w:lvlJc w:val="left"/>
      <w:pPr>
        <w:ind w:left="72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color w:val="1A1A2E"/>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paragraph" w:styleId="Heading1">
    <w:name w:val="Heading 1"/>
    <w:basedOn w:val="Normal"/>
    <w:next w:val="Normal"/>
    <w:qFormat/>
    <w:pPr>
      <w:spacing w:before="360" w:after="200"/>
      <w:outlineLvl w:val="0"/>
    </w:pPr>
    <w:rPr>
      <w:rFonts w:ascii="Arial" w:cs="Arial" w:eastAsia="Arial" w:hAnsi="Arial"/>
      <w:b/>
      <w:bCs/>
      <w:color w:val="002855"/>
      <w:sz w:val="40"/>
      <w:szCs w:val="40"/>
    </w:rPr>
  </w:style>
  <w:style w:type="paragraph" w:styleId="Heading2">
    <w:name w:val="Heading 2"/>
    <w:basedOn w:val="Normal"/>
    <w:next w:val="Normal"/>
    <w:qFormat/>
    <w:pPr>
      <w:spacing w:before="300" w:after="160"/>
      <w:outlineLvl w:val="1"/>
    </w:pPr>
    <w:rPr>
      <w:rFonts w:ascii="Arial" w:cs="Arial" w:eastAsia="Arial" w:hAnsi="Arial"/>
      <w:b/>
      <w:bCs/>
      <w:color w:val="002855"/>
      <w:sz w:val="30"/>
      <w:szCs w:val="30"/>
    </w:rPr>
  </w:style>
  <w:style w:type="paragraph" w:styleId="Heading3">
    <w:name w:val="Heading 3"/>
    <w:basedOn w:val="Normal"/>
    <w:next w:val="Normal"/>
    <w:qFormat/>
    <w:pPr>
      <w:spacing w:before="240" w:after="120"/>
      <w:outlineLvl w:val="2"/>
    </w:pPr>
    <w:rPr>
      <w:rFonts w:ascii="Arial" w:cs="Arial" w:eastAsia="Arial" w:hAnsi="Arial"/>
      <w:b/>
      <w:bCs/>
      <w:color w:val="0066B3"/>
      <w:sz w:val="26"/>
      <w:szCs w:val="26"/>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fontTable" Target="fontTable.xml"/></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2026-02-01T21:50:18.498Z</dcterms:created>
  <dcterms:modified xsi:type="dcterms:W3CDTF">2026-02-01T21:50:18.498Z</dcterms:modified>
</cp:coreProperties>
</file>

<file path=docProps/custom.xml><?xml version="1.0" encoding="utf-8"?>
<Properties xmlns="http://schemas.openxmlformats.org/officeDocument/2006/custom-properties" xmlns:vt="http://schemas.openxmlformats.org/officeDocument/2006/docPropsVTypes"/>
</file>