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pPr>
    </w:p>
    <w:p>
      <w:pPr>
        <w:spacing w:after="0"/>
        <w:jc w:val="left"/>
      </w:pPr>
      <w:r>
        <w:rPr>
          <w:rFonts w:ascii="Arial" w:cs="Arial" w:eastAsia="Arial" w:hAnsi="Arial"/>
          <w:b/>
          <w:bCs/>
          <w:caps/>
          <w:color w:val="0066B3"/>
          <w:sz w:val="28"/>
          <w:szCs w:val="28"/>
        </w:rPr>
        <w:t xml:space="preserve">DDM SYSTEMS</w:t>
      </w:r>
    </w:p>
    <w:p>
      <w:pPr>
        <w:spacing w:after="120"/>
        <w:jc w:val="left"/>
      </w:pPr>
      <w:r>
        <w:rPr>
          <w:rFonts w:ascii="Arial" w:cs="Arial" w:eastAsia="Arial" w:hAnsi="Arial"/>
          <w:caps/>
          <w:color w:val="0066B3"/>
          <w:sz w:val="20"/>
          <w:szCs w:val="20"/>
        </w:rPr>
        <w:t xml:space="preserve">WHITE PAPER</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2855" w:sz="6"/>
              <w:left w:val="none"/>
              <w:bottom w:val="none"/>
              <w:right w:val="none"/>
            </w:tcBorders>
          </w:tcPr>
          <w:p>
            <w:pPr>
              <w:spacing w:after="0"/>
            </w:pPr>
          </w:p>
        </w:tc>
      </w:tr>
    </w:tbl>
    <w:p>
      <w:pPr>
        <w:spacing w:after="100"/>
      </w:pPr>
    </w:p>
    <w:p>
      <w:pPr>
        <w:spacing w:after="200" w:line="340"/>
        <w:jc w:val="left"/>
      </w:pPr>
      <w:r>
        <w:rPr>
          <w:rFonts w:ascii="Arial" w:cs="Arial" w:eastAsia="Arial" w:hAnsi="Arial"/>
          <w:b/>
          <w:bCs/>
          <w:color w:val="002855"/>
          <w:sz w:val="52"/>
          <w:szCs w:val="52"/>
        </w:rPr>
        <w:t xml:space="preserve">Sustainable Casting</w:t>
      </w:r>
    </w:p>
    <w:p>
      <w:pPr>
        <w:spacing w:after="600"/>
        <w:jc w:val="left"/>
      </w:pPr>
      <w:r>
        <w:rPr>
          <w:rFonts w:ascii="Arial" w:cs="Arial" w:eastAsia="Arial" w:hAnsi="Arial"/>
          <w:i/>
          <w:iCs/>
          <w:color w:val="0066B3"/>
          <w:sz w:val="26"/>
          <w:szCs w:val="26"/>
        </w:rPr>
        <w:t xml:space="preserve">Reducing Energy Consumption by Up to 90% in Investment Casting</w:t>
      </w:r>
    </w:p>
    <w:p>
      <w:pPr>
        <w:spacing w:after="100"/>
      </w:pPr>
    </w:p>
    <w:p>
      <w:pPr>
        <w:spacing w:after="100"/>
      </w:pPr>
    </w:p>
    <w:p>
      <w:pPr>
        <w:spacing w:after="100"/>
      </w:pPr>
    </w:p>
    <w:p>
      <w:pPr>
        <w:spacing w:after="100"/>
      </w:pPr>
    </w:p>
    <w:p>
      <w:pPr>
        <w:spacing w:after="60"/>
      </w:pPr>
      <w:r>
        <w:rPr>
          <w:rFonts w:ascii="Arial" w:cs="Arial" w:eastAsia="Arial" w:hAnsi="Arial"/>
          <w:color w:val="002855"/>
          <w:sz w:val="20"/>
          <w:szCs w:val="20"/>
        </w:rPr>
        <w:t xml:space="preserve">DDM Systems  |  The Digital Foundry™</w:t>
      </w:r>
    </w:p>
    <w:p>
      <w:pPr>
        <w:spacing w:after="60"/>
      </w:pPr>
      <w:r>
        <w:rPr>
          <w:rFonts w:ascii="Arial" w:cs="Arial" w:eastAsia="Arial" w:hAnsi="Arial"/>
          <w:color w:val="1A1A2E"/>
          <w:sz w:val="18"/>
          <w:szCs w:val="18"/>
        </w:rPr>
        <w:t xml:space="preserve">1876 Defoor Ave NW, Suite 3, Atlanta, GA 30318</w:t>
      </w:r>
    </w:p>
    <w:p>
      <w:pPr>
        <w:spacing w:after="60"/>
      </w:pPr>
      <w:r>
        <w:rPr>
          <w:rFonts w:ascii="Arial" w:cs="Arial" w:eastAsia="Arial" w:hAnsi="Arial"/>
          <w:color w:val="1A1A2E"/>
          <w:sz w:val="18"/>
          <w:szCs w:val="18"/>
        </w:rPr>
        <w:t xml:space="preserve">www.RapidPrecisionCasting.com  |  470-225-6987</w:t>
      </w:r>
    </w:p>
    <w:p>
      <w:pPr>
        <w:spacing w:after="0"/>
      </w:pPr>
      <w:r>
        <w:rPr>
          <w:rFonts w:ascii="Arial" w:cs="Arial" w:eastAsia="Arial" w:hAnsi="Arial"/>
          <w:i/>
          <w:iCs/>
          <w:color w:val="1A1A2E"/>
          <w:sz w:val="16"/>
          <w:szCs w:val="16"/>
        </w:rPr>
        <w:t xml:space="preserve">© 2026 DDM Systems, Inc. All rights reserved.</w:t>
      </w:r>
    </w:p>
    <w:p>
      <w:r>
        <w:br w:type="page"/>
      </w:r>
    </w:p>
    <w:p>
      <w:pPr>
        <w:pStyle w:val="Heading1"/>
        <w:spacing w:before="360" w:after="200"/>
      </w:pPr>
      <w:r>
        <w:rPr>
          <w:rFonts w:ascii="Arial" w:cs="Arial" w:eastAsia="Arial" w:hAnsi="Arial"/>
          <w:b/>
          <w:bCs/>
          <w:color w:val="002855"/>
          <w:sz w:val="40"/>
          <w:szCs w:val="40"/>
        </w:rPr>
        <w:t xml:space="preserve">Executive Summary</w:t>
      </w:r>
    </w:p>
    <w:p>
      <w:pPr>
        <w:spacing w:after="200" w:line="300"/>
      </w:pPr>
      <w:r>
        <w:rPr>
          <w:rFonts w:ascii="Arial" w:cs="Arial" w:eastAsia="Arial" w:hAnsi="Arial"/>
          <w:sz w:val="22"/>
          <w:szCs w:val="22"/>
        </w:rPr>
        <w:t xml:space="preserve">The investment casting industry is one of the most energy-intensive manufacturing sectors in the world. The traditional process requires multiple stages of heating, melting, curing, and sintering, each consuming significant amounts of energy. Scrap rates add further to the energy footprint, as defective parts represent wasted energy at every stage of production.</w:t>
      </w:r>
    </w:p>
    <w:p>
      <w:pPr>
        <w:spacing w:after="200" w:line="300"/>
      </w:pPr>
      <w:r>
        <w:rPr>
          <w:rFonts w:ascii="Arial" w:cs="Arial" w:eastAsia="Arial" w:hAnsi="Arial"/>
          <w:sz w:val="22"/>
          <w:szCs w:val="22"/>
        </w:rPr>
        <w:t xml:space="preserve">DDM Systems’ LAMP™ technology and DirectPour™ process have been validated through a U.S. Department of Energy ARPA-E project with GE to achieve energy consumption reductions of up to 90% compared to traditional investment casting. This white paper examines the sources of energy savings, the environmental implications, and the growing importance of sustainable manufacturing practices in procurement decisions.</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c>
          <w:tcPr>
            <w:tcW w:type="dxa" w:w="2340"/>
            <w:tcBorders>
              <w:top w:val="single" w:color="E0E0E0" w:sz="1"/>
              <w:left w:val="single" w:color="E0E0E0" w:sz="1"/>
              <w:bottom w:val="single" w:color="E0E0E0" w:sz="1"/>
              <w:right w:val="single" w:color="E0E0E0" w:sz="1"/>
            </w:tcBorders>
            <w:shd w:fill="002855" w:val="clear"/>
            <w:tcMar>
              <w:top w:type="dxa" w:w="200"/>
              <w:left w:type="dxa" w:w="120"/>
              <w:bottom w:type="dxa" w:w="200"/>
              <w:right w:type="dxa" w:w="120"/>
            </w:tcMar>
            <w:vAlign w:val="center"/>
          </w:tcPr>
          <w:p>
            <w:pPr>
              <w:spacing w:after="60"/>
              <w:jc w:val="center"/>
            </w:pPr>
            <w:r>
              <w:rPr>
                <w:rFonts w:ascii="Arial" w:cs="Arial" w:eastAsia="Arial" w:hAnsi="Arial"/>
                <w:b/>
                <w:bCs/>
                <w:color w:val="FFFFFF"/>
                <w:sz w:val="36"/>
                <w:szCs w:val="36"/>
              </w:rPr>
              <w:t xml:space="preserve">90%</w:t>
            </w:r>
          </w:p>
          <w:p>
            <w:pPr>
              <w:spacing w:after="0"/>
              <w:jc w:val="center"/>
            </w:pPr>
            <w:r>
              <w:rPr>
                <w:rFonts w:ascii="Arial" w:cs="Arial" w:eastAsia="Arial" w:hAnsi="Arial"/>
                <w:color w:val="D5E8F0"/>
                <w:sz w:val="18"/>
                <w:szCs w:val="18"/>
              </w:rPr>
              <w:t xml:space="preserve">Energy Reduction (Validated)</w:t>
            </w:r>
          </w:p>
        </w:tc>
        <w:tc>
          <w:tcPr>
            <w:tcW w:type="dxa" w:w="2340"/>
            <w:tcBorders>
              <w:top w:val="single" w:color="E0E0E0" w:sz="1"/>
              <w:left w:val="single" w:color="E0E0E0" w:sz="1"/>
              <w:bottom w:val="single" w:color="E0E0E0" w:sz="1"/>
              <w:right w:val="single" w:color="E0E0E0" w:sz="1"/>
            </w:tcBorders>
            <w:shd w:fill="002855" w:val="clear"/>
            <w:tcMar>
              <w:top w:type="dxa" w:w="200"/>
              <w:left w:type="dxa" w:w="120"/>
              <w:bottom w:type="dxa" w:w="200"/>
              <w:right w:type="dxa" w:w="120"/>
            </w:tcMar>
            <w:vAlign w:val="center"/>
          </w:tcPr>
          <w:p>
            <w:pPr>
              <w:spacing w:after="60"/>
              <w:jc w:val="center"/>
            </w:pPr>
            <w:r>
              <w:rPr>
                <w:rFonts w:ascii="Arial" w:cs="Arial" w:eastAsia="Arial" w:hAnsi="Arial"/>
                <w:b/>
                <w:bCs/>
                <w:color w:val="FFFFFF"/>
                <w:sz w:val="36"/>
                <w:szCs w:val="36"/>
              </w:rPr>
              <w:t xml:space="preserve">90%</w:t>
            </w:r>
          </w:p>
          <w:p>
            <w:pPr>
              <w:spacing w:after="0"/>
              <w:jc w:val="center"/>
            </w:pPr>
            <w:r>
              <w:rPr>
                <w:rFonts w:ascii="Arial" w:cs="Arial" w:eastAsia="Arial" w:hAnsi="Arial"/>
                <w:color w:val="D5E8F0"/>
                <w:sz w:val="18"/>
                <w:szCs w:val="18"/>
              </w:rPr>
              <w:t xml:space="preserve">Scrap Reduction</w:t>
            </w:r>
          </w:p>
        </w:tc>
        <w:tc>
          <w:tcPr>
            <w:tcW w:type="dxa" w:w="2340"/>
            <w:tcBorders>
              <w:top w:val="single" w:color="E0E0E0" w:sz="1"/>
              <w:left w:val="single" w:color="E0E0E0" w:sz="1"/>
              <w:bottom w:val="single" w:color="E0E0E0" w:sz="1"/>
              <w:right w:val="single" w:color="E0E0E0" w:sz="1"/>
            </w:tcBorders>
            <w:shd w:fill="002855" w:val="clear"/>
            <w:tcMar>
              <w:top w:type="dxa" w:w="200"/>
              <w:left w:type="dxa" w:w="120"/>
              <w:bottom w:type="dxa" w:w="200"/>
              <w:right w:type="dxa" w:w="120"/>
            </w:tcMar>
            <w:vAlign w:val="center"/>
          </w:tcPr>
          <w:p>
            <w:pPr>
              <w:spacing w:after="60"/>
              <w:jc w:val="center"/>
            </w:pPr>
            <w:r>
              <w:rPr>
                <w:rFonts w:ascii="Arial" w:cs="Arial" w:eastAsia="Arial" w:hAnsi="Arial"/>
                <w:b/>
                <w:bCs/>
                <w:color w:val="FFFFFF"/>
                <w:sz w:val="36"/>
                <w:szCs w:val="36"/>
              </w:rPr>
              <w:t xml:space="preserve">7</w:t>
            </w:r>
          </w:p>
          <w:p>
            <w:pPr>
              <w:spacing w:after="0"/>
              <w:jc w:val="center"/>
            </w:pPr>
            <w:r>
              <w:rPr>
                <w:rFonts w:ascii="Arial" w:cs="Arial" w:eastAsia="Arial" w:hAnsi="Arial"/>
                <w:color w:val="D5E8F0"/>
                <w:sz w:val="18"/>
                <w:szCs w:val="18"/>
              </w:rPr>
              <w:t xml:space="preserve">Process Steps Eliminated</w:t>
            </w:r>
          </w:p>
        </w:tc>
        <w:tc>
          <w:tcPr>
            <w:tcW w:type="dxa" w:w="2340"/>
            <w:tcBorders>
              <w:top w:val="single" w:color="E0E0E0" w:sz="1"/>
              <w:left w:val="single" w:color="E0E0E0" w:sz="1"/>
              <w:bottom w:val="single" w:color="E0E0E0" w:sz="1"/>
              <w:right w:val="single" w:color="E0E0E0" w:sz="1"/>
            </w:tcBorders>
            <w:shd w:fill="002855" w:val="clear"/>
            <w:tcMar>
              <w:top w:type="dxa" w:w="200"/>
              <w:left w:type="dxa" w:w="120"/>
              <w:bottom w:type="dxa" w:w="200"/>
              <w:right w:type="dxa" w:w="120"/>
            </w:tcMar>
            <w:vAlign w:val="center"/>
          </w:tcPr>
          <w:p>
            <w:pPr>
              <w:spacing w:after="60"/>
              <w:jc w:val="center"/>
            </w:pPr>
            <w:r>
              <w:rPr>
                <w:rFonts w:ascii="Arial" w:cs="Arial" w:eastAsia="Arial" w:hAnsi="Arial"/>
                <w:b/>
                <w:bCs/>
                <w:color w:val="FFFFFF"/>
                <w:sz w:val="36"/>
                <w:szCs w:val="36"/>
              </w:rPr>
              <w:t xml:space="preserve">50%</w:t>
            </w:r>
          </w:p>
          <w:p>
            <w:pPr>
              <w:spacing w:after="0"/>
              <w:jc w:val="center"/>
            </w:pPr>
            <w:r>
              <w:rPr>
                <w:rFonts w:ascii="Arial" w:cs="Arial" w:eastAsia="Arial" w:hAnsi="Arial"/>
                <w:color w:val="D5E8F0"/>
                <w:sz w:val="18"/>
                <w:szCs w:val="18"/>
              </w:rPr>
              <w:t xml:space="preserve">Overall Cost Reduction</w:t>
            </w:r>
          </w:p>
        </w:tc>
      </w:tr>
    </w:tbl>
    <w:p>
      <w:r>
        <w:br w:type="page"/>
      </w:r>
    </w:p>
    <w:p>
      <w:pPr>
        <w:pStyle w:val="Heading1"/>
        <w:spacing w:before="360" w:after="200"/>
      </w:pPr>
      <w:r>
        <w:rPr>
          <w:rFonts w:ascii="Arial" w:cs="Arial" w:eastAsia="Arial" w:hAnsi="Arial"/>
          <w:b/>
          <w:bCs/>
          <w:color w:val="002855"/>
          <w:sz w:val="40"/>
          <w:szCs w:val="40"/>
        </w:rPr>
        <w:t xml:space="preserve">Energy Consumption in Traditional Casting</w:t>
      </w:r>
    </w:p>
    <w:p>
      <w:pPr>
        <w:spacing w:after="200" w:line="300"/>
      </w:pPr>
      <w:r>
        <w:rPr>
          <w:rFonts w:ascii="Arial" w:cs="Arial" w:eastAsia="Arial" w:hAnsi="Arial"/>
          <w:sz w:val="22"/>
          <w:szCs w:val="22"/>
        </w:rPr>
        <w:t xml:space="preserve">The traditional 12-step investment casting process consumes energy at nearly every stage. Tooling manufacture requires CNC machining and EDM processes. Wax injection requires heated presses. Shell building requires multiple heating and drying cycles. Dewaxing requires autoclaves or flash furnaces. And the final sintering, melting, and pouring operations consume the most energy of all.</w:t>
      </w:r>
    </w:p>
    <w:p>
      <w:pPr>
        <w:spacing w:after="100"/>
      </w:pPr>
    </w:p>
    <w:p>
      <w:pPr>
        <w:pStyle w:val="Heading2"/>
        <w:spacing w:before="300" w:after="160"/>
      </w:pPr>
      <w:r>
        <w:rPr>
          <w:rFonts w:ascii="Arial" w:cs="Arial" w:eastAsia="Arial" w:hAnsi="Arial"/>
          <w:b/>
          <w:bCs/>
          <w:color w:val="002855"/>
          <w:sz w:val="30"/>
          <w:szCs w:val="30"/>
        </w:rPr>
        <w:t xml:space="preserve">Where Energy Is Consumed</w:t>
      </w:r>
    </w:p>
    <w:p>
      <w:pPr>
        <w:pStyle w:val="ListParagraph"/>
        <w:numPr>
          <w:ilvl w:val="0"/>
          <w:numId w:val="2"/>
        </w:numPr>
        <w:spacing w:after="120" w:line="300"/>
      </w:pPr>
      <w:r>
        <w:rPr>
          <w:rFonts w:ascii="Arial" w:cs="Arial" w:eastAsia="Arial" w:hAnsi="Arial"/>
          <w:b/>
          <w:bCs/>
          <w:sz w:val="22"/>
          <w:szCs w:val="22"/>
        </w:rPr>
        <w:t xml:space="preserve">Tooling manufacture: </w:t>
      </w:r>
      <w:r>
        <w:rPr>
          <w:rFonts w:ascii="Arial" w:cs="Arial" w:eastAsia="Arial" w:hAnsi="Arial"/>
          <w:sz w:val="22"/>
          <w:szCs w:val="22"/>
        </w:rPr>
        <w:t xml:space="preserve">CNC machining, wire EDM, heat treatment of tool steel dies</w:t>
      </w:r>
    </w:p>
    <w:p>
      <w:pPr>
        <w:pStyle w:val="ListParagraph"/>
        <w:numPr>
          <w:ilvl w:val="0"/>
          <w:numId w:val="2"/>
        </w:numPr>
        <w:spacing w:after="120" w:line="300"/>
      </w:pPr>
      <w:r>
        <w:rPr>
          <w:rFonts w:ascii="Arial" w:cs="Arial" w:eastAsia="Arial" w:hAnsi="Arial"/>
          <w:b/>
          <w:bCs/>
          <w:sz w:val="22"/>
          <w:szCs w:val="22"/>
        </w:rPr>
        <w:t xml:space="preserve">Wax processing: </w:t>
      </w:r>
      <w:r>
        <w:rPr>
          <w:rFonts w:ascii="Arial" w:cs="Arial" w:eastAsia="Arial" w:hAnsi="Arial"/>
          <w:sz w:val="22"/>
          <w:szCs w:val="22"/>
        </w:rPr>
        <w:t xml:space="preserve">Melting, injection, pattern assembly, and meltout/burnout</w:t>
      </w:r>
    </w:p>
    <w:p>
      <w:pPr>
        <w:pStyle w:val="ListParagraph"/>
        <w:numPr>
          <w:ilvl w:val="0"/>
          <w:numId w:val="2"/>
        </w:numPr>
        <w:spacing w:after="120" w:line="300"/>
      </w:pPr>
      <w:r>
        <w:rPr>
          <w:rFonts w:ascii="Arial" w:cs="Arial" w:eastAsia="Arial" w:hAnsi="Arial"/>
          <w:b/>
          <w:bCs/>
          <w:sz w:val="22"/>
          <w:szCs w:val="22"/>
        </w:rPr>
        <w:t xml:space="preserve">Shell building: </w:t>
      </w:r>
      <w:r>
        <w:rPr>
          <w:rFonts w:ascii="Arial" w:cs="Arial" w:eastAsia="Arial" w:hAnsi="Arial"/>
          <w:sz w:val="22"/>
          <w:szCs w:val="22"/>
        </w:rPr>
        <w:t xml:space="preserve">Repeated cycles of slurry dipping, stucco coating, and drying (7+ cycles)</w:t>
      </w:r>
    </w:p>
    <w:p>
      <w:pPr>
        <w:pStyle w:val="ListParagraph"/>
        <w:numPr>
          <w:ilvl w:val="0"/>
          <w:numId w:val="2"/>
        </w:numPr>
        <w:spacing w:after="120" w:line="300"/>
      </w:pPr>
      <w:r>
        <w:rPr>
          <w:rFonts w:ascii="Arial" w:cs="Arial" w:eastAsia="Arial" w:hAnsi="Arial"/>
          <w:b/>
          <w:bCs/>
          <w:sz w:val="22"/>
          <w:szCs w:val="22"/>
        </w:rPr>
        <w:t xml:space="preserve">Sintering: </w:t>
      </w:r>
      <w:r>
        <w:rPr>
          <w:rFonts w:ascii="Arial" w:cs="Arial" w:eastAsia="Arial" w:hAnsi="Arial"/>
          <w:sz w:val="22"/>
          <w:szCs w:val="22"/>
        </w:rPr>
        <w:t xml:space="preserve">High-temperature firing of the completed ceramic shell</w:t>
      </w:r>
    </w:p>
    <w:p>
      <w:pPr>
        <w:pStyle w:val="ListParagraph"/>
        <w:numPr>
          <w:ilvl w:val="0"/>
          <w:numId w:val="2"/>
        </w:numPr>
        <w:spacing w:after="120" w:line="300"/>
      </w:pPr>
      <w:r>
        <w:rPr>
          <w:rFonts w:ascii="Arial" w:cs="Arial" w:eastAsia="Arial" w:hAnsi="Arial"/>
          <w:b/>
          <w:bCs/>
          <w:sz w:val="22"/>
          <w:szCs w:val="22"/>
        </w:rPr>
        <w:t xml:space="preserve">Metal melting and pouring: </w:t>
      </w:r>
      <w:r>
        <w:rPr>
          <w:rFonts w:ascii="Arial" w:cs="Arial" w:eastAsia="Arial" w:hAnsi="Arial"/>
          <w:sz w:val="22"/>
          <w:szCs w:val="22"/>
        </w:rPr>
        <w:t xml:space="preserve">Induction or resistance furnaces bringing alloys to pouring temperature</w:t>
      </w:r>
    </w:p>
    <w:p>
      <w:pPr>
        <w:pStyle w:val="ListParagraph"/>
        <w:numPr>
          <w:ilvl w:val="0"/>
          <w:numId w:val="2"/>
        </w:numPr>
        <w:spacing w:after="120" w:line="300"/>
      </w:pPr>
      <w:r>
        <w:rPr>
          <w:rFonts w:ascii="Arial" w:cs="Arial" w:eastAsia="Arial" w:hAnsi="Arial"/>
          <w:b/>
          <w:bCs/>
          <w:sz w:val="22"/>
          <w:szCs w:val="22"/>
        </w:rPr>
        <w:t xml:space="preserve">Scrap reprocessing: </w:t>
      </w:r>
      <w:r>
        <w:rPr>
          <w:rFonts w:ascii="Arial" w:cs="Arial" w:eastAsia="Arial" w:hAnsi="Arial"/>
          <w:sz w:val="22"/>
          <w:szCs w:val="22"/>
        </w:rPr>
        <w:t xml:space="preserve">Energy consumed to produce parts that fail inspection and must be remelted</w:t>
      </w:r>
    </w:p>
    <w:p>
      <w:pPr>
        <w:spacing w:after="100"/>
      </w:pPr>
    </w:p>
    <w:p>
      <w:pPr>
        <w:spacing w:after="200" w:line="300"/>
      </w:pPr>
      <w:r>
        <w:rPr>
          <w:rFonts w:ascii="Arial" w:cs="Arial" w:eastAsia="Arial" w:hAnsi="Arial"/>
          <w:sz w:val="22"/>
          <w:szCs w:val="22"/>
        </w:rPr>
        <w:t xml:space="preserve">When scrap rates are factored in, the effective energy consumption per good part rises significantly. Traditional investment casting scrap rates vary by application but can be substantial for complex components.</w:t>
      </w:r>
    </w:p>
    <w:p>
      <w:r>
        <w:br w:type="page"/>
      </w:r>
    </w:p>
    <w:p>
      <w:pPr>
        <w:pStyle w:val="Heading1"/>
        <w:spacing w:before="360" w:after="200"/>
      </w:pPr>
      <w:r>
        <w:rPr>
          <w:rFonts w:ascii="Arial" w:cs="Arial" w:eastAsia="Arial" w:hAnsi="Arial"/>
          <w:b/>
          <w:bCs/>
          <w:color w:val="002855"/>
          <w:sz w:val="40"/>
          <w:szCs w:val="40"/>
        </w:rPr>
        <w:t xml:space="preserve">How DDM Reduces Energy by Up to 90%</w:t>
      </w:r>
    </w:p>
    <w:p>
      <w:pPr>
        <w:spacing w:after="200" w:line="300"/>
      </w:pPr>
      <w:r>
        <w:rPr>
          <w:rFonts w:ascii="Arial" w:cs="Arial" w:eastAsia="Arial" w:hAnsi="Arial"/>
          <w:sz w:val="22"/>
          <w:szCs w:val="22"/>
        </w:rPr>
        <w:t xml:space="preserve">DDM’s energy advantage comes from the elimination of entire categories of energy-consuming processes.</w:t>
      </w:r>
    </w:p>
    <w:p>
      <w:pPr>
        <w:spacing w:after="100"/>
      </w:pPr>
    </w:p>
    <w:p>
      <w:pPr>
        <w:pStyle w:val="Heading2"/>
        <w:spacing w:before="300" w:after="160"/>
      </w:pPr>
      <w:r>
        <w:rPr>
          <w:rFonts w:ascii="Arial" w:cs="Arial" w:eastAsia="Arial" w:hAnsi="Arial"/>
          <w:b/>
          <w:bCs/>
          <w:color w:val="002855"/>
          <w:sz w:val="30"/>
          <w:szCs w:val="30"/>
        </w:rPr>
        <w:t xml:space="preserve">Eliminated Energy Sources</w:t>
      </w:r>
    </w:p>
    <w:p>
      <w:pPr>
        <w:pStyle w:val="ListParagraph"/>
        <w:numPr>
          <w:ilvl w:val="0"/>
          <w:numId w:val="2"/>
        </w:numPr>
        <w:spacing w:after="120" w:line="300"/>
      </w:pPr>
      <w:r>
        <w:rPr>
          <w:rFonts w:ascii="Arial" w:cs="Arial" w:eastAsia="Arial" w:hAnsi="Arial"/>
          <w:sz w:val="22"/>
          <w:szCs w:val="22"/>
        </w:rPr>
        <w:t xml:space="preserve">No tooling manufacture (eliminates CNC machining, EDM, and heat treatment energy)</w:t>
      </w:r>
    </w:p>
    <w:p>
      <w:pPr>
        <w:pStyle w:val="ListParagraph"/>
        <w:numPr>
          <w:ilvl w:val="0"/>
          <w:numId w:val="2"/>
        </w:numPr>
        <w:spacing w:after="120" w:line="300"/>
      </w:pPr>
      <w:r>
        <w:rPr>
          <w:rFonts w:ascii="Arial" w:cs="Arial" w:eastAsia="Arial" w:hAnsi="Arial"/>
          <w:sz w:val="22"/>
          <w:szCs w:val="22"/>
        </w:rPr>
        <w:t xml:space="preserve">No wax processing (eliminates wax melting, injection, and burnout energy)</w:t>
      </w:r>
    </w:p>
    <w:p>
      <w:pPr>
        <w:pStyle w:val="ListParagraph"/>
        <w:numPr>
          <w:ilvl w:val="0"/>
          <w:numId w:val="2"/>
        </w:numPr>
        <w:spacing w:after="120" w:line="300"/>
      </w:pPr>
      <w:r>
        <w:rPr>
          <w:rFonts w:ascii="Arial" w:cs="Arial" w:eastAsia="Arial" w:hAnsi="Arial"/>
          <w:sz w:val="22"/>
          <w:szCs w:val="22"/>
        </w:rPr>
        <w:t xml:space="preserve">No multi-cycle shell building (eliminates 7+ dip/dry/stucco cycles)</w:t>
      </w:r>
    </w:p>
    <w:p>
      <w:pPr>
        <w:pStyle w:val="ListParagraph"/>
        <w:numPr>
          <w:ilvl w:val="0"/>
          <w:numId w:val="2"/>
        </w:numPr>
        <w:spacing w:after="120" w:line="300"/>
      </w:pPr>
      <w:r>
        <w:rPr>
          <w:rFonts w:ascii="Arial" w:cs="Arial" w:eastAsia="Arial" w:hAnsi="Arial"/>
          <w:sz w:val="22"/>
          <w:szCs w:val="22"/>
        </w:rPr>
        <w:t xml:space="preserve">90% reduction in scrap (dramatically reduces reprocessing energy)</w:t>
      </w:r>
    </w:p>
    <w:p>
      <w:pPr>
        <w:spacing w:after="100"/>
      </w:pPr>
    </w:p>
    <w:p>
      <w:pPr>
        <w:pStyle w:val="Heading2"/>
        <w:spacing w:before="300" w:after="160"/>
      </w:pPr>
      <w:r>
        <w:rPr>
          <w:rFonts w:ascii="Arial" w:cs="Arial" w:eastAsia="Arial" w:hAnsi="Arial"/>
          <w:b/>
          <w:bCs/>
          <w:color w:val="002855"/>
          <w:sz w:val="30"/>
          <w:szCs w:val="30"/>
        </w:rPr>
        <w:t xml:space="preserve">Retained but Optimized Energy Sources</w:t>
      </w:r>
    </w:p>
    <w:p>
      <w:pPr>
        <w:pStyle w:val="ListParagraph"/>
        <w:numPr>
          <w:ilvl w:val="0"/>
          <w:numId w:val="2"/>
        </w:numPr>
        <w:spacing w:after="120" w:line="300"/>
      </w:pPr>
      <w:r>
        <w:rPr>
          <w:rFonts w:ascii="Arial" w:cs="Arial" w:eastAsia="Arial" w:hAnsi="Arial"/>
          <w:b/>
          <w:bCs/>
          <w:sz w:val="22"/>
          <w:szCs w:val="22"/>
        </w:rPr>
        <w:t xml:space="preserve">Ceramic sintering: </w:t>
      </w:r>
      <w:r>
        <w:rPr>
          <w:rFonts w:ascii="Arial" w:cs="Arial" w:eastAsia="Arial" w:hAnsi="Arial"/>
          <w:sz w:val="22"/>
          <w:szCs w:val="22"/>
        </w:rPr>
        <w:t xml:space="preserve">Still required, but DDM’s monolithic shell is more thermally efficient than multi-layer dipped shells</w:t>
      </w:r>
    </w:p>
    <w:p>
      <w:pPr>
        <w:pStyle w:val="ListParagraph"/>
        <w:numPr>
          <w:ilvl w:val="0"/>
          <w:numId w:val="2"/>
        </w:numPr>
        <w:spacing w:after="120" w:line="300"/>
      </w:pPr>
      <w:r>
        <w:rPr>
          <w:rFonts w:ascii="Arial" w:cs="Arial" w:eastAsia="Arial" w:hAnsi="Arial"/>
          <w:b/>
          <w:bCs/>
          <w:sz w:val="22"/>
          <w:szCs w:val="22"/>
        </w:rPr>
        <w:t xml:space="preserve">Metal melting and pouring: </w:t>
      </w:r>
      <w:r>
        <w:rPr>
          <w:rFonts w:ascii="Arial" w:cs="Arial" w:eastAsia="Arial" w:hAnsi="Arial"/>
          <w:sz w:val="22"/>
          <w:szCs w:val="22"/>
        </w:rPr>
        <w:t xml:space="preserve">This step is identical to traditional casting. The energy here is inherent to metallurgy and cannot be eliminated.</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66B3" w:sz="1"/>
              <w:left w:val="single" w:color="002855" w:sz="6"/>
              <w:bottom w:val="single" w:color="0066B3" w:sz="1"/>
              <w:right w:val="single" w:color="0066B3" w:sz="1"/>
            </w:tcBorders>
            <w:shd w:fill="F5F7FA" w:val="clear"/>
            <w:tcMar>
              <w:top w:type="dxa" w:w="160"/>
              <w:left w:type="dxa" w:w="240"/>
              <w:bottom w:type="dxa" w:w="160"/>
              <w:right w:type="dxa" w:w="240"/>
            </w:tcMar>
          </w:tcPr>
          <w:p>
            <w:pPr>
              <w:spacing w:after="80"/>
            </w:pPr>
            <w:r>
              <w:rPr>
                <w:rFonts w:ascii="Arial" w:cs="Arial" w:eastAsia="Arial" w:hAnsi="Arial"/>
                <w:b/>
                <w:bCs/>
                <w:color w:val="002855"/>
                <w:sz w:val="24"/>
                <w:szCs w:val="24"/>
              </w:rPr>
              <w:t xml:space="preserve">ARPA-E Validation</w:t>
            </w:r>
          </w:p>
          <w:p>
            <w:pPr>
              <w:spacing w:after="0"/>
            </w:pPr>
            <w:r>
              <w:rPr>
                <w:rFonts w:ascii="Arial" w:cs="Arial" w:eastAsia="Arial" w:hAnsi="Arial"/>
                <w:color w:val="1A1A2E"/>
                <w:sz w:val="22"/>
                <w:szCs w:val="22"/>
              </w:rPr>
              <w:t xml:space="preserve">DDM’s energy reduction claims were validated through ARPA-E OPEN 2021, a $3.3 million project conducted in partnership with GE Vernova titled "Manufacturing High-Yield Investment Castings with Minimal Energy." This is not a theoretical projection. It is a federally funded, independently validated result.</w:t>
            </w:r>
          </w:p>
        </w:tc>
      </w:tr>
    </w:tbl>
    <w:p>
      <w:r>
        <w:br w:type="page"/>
      </w:r>
    </w:p>
    <w:p>
      <w:pPr>
        <w:pStyle w:val="Heading1"/>
        <w:spacing w:before="360" w:after="200"/>
      </w:pPr>
      <w:r>
        <w:rPr>
          <w:rFonts w:ascii="Arial" w:cs="Arial" w:eastAsia="Arial" w:hAnsi="Arial"/>
          <w:b/>
          <w:bCs/>
          <w:color w:val="002855"/>
          <w:sz w:val="40"/>
          <w:szCs w:val="40"/>
        </w:rPr>
        <w:t xml:space="preserve">Environmental Implications</w:t>
      </w:r>
    </w:p>
    <w:p>
      <w:pPr>
        <w:spacing w:after="200" w:line="300"/>
      </w:pPr>
      <w:r>
        <w:rPr>
          <w:rFonts w:ascii="Arial" w:cs="Arial" w:eastAsia="Arial" w:hAnsi="Arial"/>
          <w:sz w:val="22"/>
          <w:szCs w:val="22"/>
        </w:rPr>
        <w:t xml:space="preserve">The environmental benefits of DDM’s approach extend beyond direct energy savings.</w:t>
      </w:r>
    </w:p>
    <w:p>
      <w:pPr>
        <w:spacing w:after="100"/>
      </w:pPr>
    </w:p>
    <w:p>
      <w:pPr>
        <w:pStyle w:val="Heading2"/>
        <w:spacing w:before="300" w:after="160"/>
      </w:pPr>
      <w:r>
        <w:rPr>
          <w:rFonts w:ascii="Arial" w:cs="Arial" w:eastAsia="Arial" w:hAnsi="Arial"/>
          <w:b/>
          <w:bCs/>
          <w:color w:val="002855"/>
          <w:sz w:val="30"/>
          <w:szCs w:val="30"/>
        </w:rPr>
        <w:t xml:space="preserve">Reduced Carbon Footprint</w:t>
      </w:r>
    </w:p>
    <w:p>
      <w:pPr>
        <w:spacing w:after="200" w:line="300"/>
      </w:pPr>
      <w:r>
        <w:rPr>
          <w:rFonts w:ascii="Arial" w:cs="Arial" w:eastAsia="Arial" w:hAnsi="Arial"/>
          <w:sz w:val="22"/>
          <w:szCs w:val="22"/>
        </w:rPr>
        <w:t xml:space="preserve">Lower energy consumption translates directly to lower greenhouse gas emissions, particularly in regions where electricity generation relies on fossil fuels. For manufacturers with Scope 1 and Scope 2 emissions reduction targets, switching to DDM’s process provides a quantifiable improvement.</w:t>
      </w:r>
    </w:p>
    <w:p>
      <w:pPr>
        <w:spacing w:after="100"/>
      </w:pPr>
    </w:p>
    <w:p>
      <w:pPr>
        <w:pStyle w:val="Heading2"/>
        <w:spacing w:before="300" w:after="160"/>
      </w:pPr>
      <w:r>
        <w:rPr>
          <w:rFonts w:ascii="Arial" w:cs="Arial" w:eastAsia="Arial" w:hAnsi="Arial"/>
          <w:b/>
          <w:bCs/>
          <w:color w:val="002855"/>
          <w:sz w:val="30"/>
          <w:szCs w:val="30"/>
        </w:rPr>
        <w:t xml:space="preserve">Reduced Material Waste</w:t>
      </w:r>
    </w:p>
    <w:p>
      <w:pPr>
        <w:spacing w:after="200" w:line="300"/>
      </w:pPr>
      <w:r>
        <w:rPr>
          <w:rFonts w:ascii="Arial" w:cs="Arial" w:eastAsia="Arial" w:hAnsi="Arial"/>
          <w:sz w:val="22"/>
          <w:szCs w:val="22"/>
        </w:rPr>
        <w:t xml:space="preserve">The 90% reduction in scrap means that less raw material is wasted in producing each good part. This is particularly significant for high-value alloys like nickel superalloys and cobalt chrome, where material costs can represent a substantial portion of part cost.</w:t>
      </w:r>
    </w:p>
    <w:p>
      <w:pPr>
        <w:spacing w:after="100"/>
      </w:pPr>
    </w:p>
    <w:p>
      <w:pPr>
        <w:pStyle w:val="Heading2"/>
        <w:spacing w:before="300" w:after="160"/>
      </w:pPr>
      <w:r>
        <w:rPr>
          <w:rFonts w:ascii="Arial" w:cs="Arial" w:eastAsia="Arial" w:hAnsi="Arial"/>
          <w:b/>
          <w:bCs/>
          <w:color w:val="002855"/>
          <w:sz w:val="30"/>
          <w:szCs w:val="30"/>
        </w:rPr>
        <w:t xml:space="preserve">Elimination of Hazardous Process Steps</w:t>
      </w:r>
    </w:p>
    <w:p>
      <w:pPr>
        <w:spacing w:after="200" w:line="300"/>
      </w:pPr>
      <w:r>
        <w:rPr>
          <w:rFonts w:ascii="Arial" w:cs="Arial" w:eastAsia="Arial" w:hAnsi="Arial"/>
          <w:sz w:val="22"/>
          <w:szCs w:val="22"/>
        </w:rPr>
        <w:t xml:space="preserve">Traditional shell building involves chemical slurries, solvents, and fine particulate stucco materials that require environmental controls and waste management. DDM’s single-step printing process uses a contained system that reduces exposure to hazardous materials.</w:t>
      </w:r>
    </w:p>
    <w:p>
      <w:pPr>
        <w:spacing w:after="100"/>
      </w:pPr>
    </w:p>
    <w:p>
      <w:pPr>
        <w:pStyle w:val="Heading2"/>
        <w:spacing w:before="300" w:after="160"/>
      </w:pPr>
      <w:r>
        <w:rPr>
          <w:rFonts w:ascii="Arial" w:cs="Arial" w:eastAsia="Arial" w:hAnsi="Arial"/>
          <w:b/>
          <w:bCs/>
          <w:color w:val="002855"/>
          <w:sz w:val="30"/>
          <w:szCs w:val="30"/>
        </w:rPr>
        <w:t xml:space="preserve">Supply Chain Simplification</w:t>
      </w:r>
    </w:p>
    <w:p>
      <w:pPr>
        <w:spacing w:after="200" w:line="300"/>
      </w:pPr>
      <w:r>
        <w:rPr>
          <w:rFonts w:ascii="Arial" w:cs="Arial" w:eastAsia="Arial" w:hAnsi="Arial"/>
          <w:sz w:val="22"/>
          <w:szCs w:val="22"/>
        </w:rPr>
        <w:t xml:space="preserve">Fewer process steps mean fewer suppliers, fewer transportation stages, and a smaller overall logistics footprint. The ability to produce castings locally rather than shipping parts across global supply chains further reduces the environmental impact of manufacturing.</w:t>
      </w:r>
    </w:p>
    <w:p>
      <w:r>
        <w:br w:type="page"/>
      </w:r>
    </w:p>
    <w:p>
      <w:pPr>
        <w:pStyle w:val="Heading1"/>
        <w:spacing w:before="360" w:after="200"/>
      </w:pPr>
      <w:r>
        <w:rPr>
          <w:rFonts w:ascii="Arial" w:cs="Arial" w:eastAsia="Arial" w:hAnsi="Arial"/>
          <w:b/>
          <w:bCs/>
          <w:color w:val="002855"/>
          <w:sz w:val="40"/>
          <w:szCs w:val="40"/>
        </w:rPr>
        <w:t xml:space="preserve">Sustainability as a Procurement Advantage</w:t>
      </w:r>
    </w:p>
    <w:p>
      <w:pPr>
        <w:spacing w:after="200" w:line="300"/>
      </w:pPr>
      <w:r>
        <w:rPr>
          <w:rFonts w:ascii="Arial" w:cs="Arial" w:eastAsia="Arial" w:hAnsi="Arial"/>
          <w:sz w:val="22"/>
          <w:szCs w:val="22"/>
        </w:rPr>
        <w:t xml:space="preserve">Sustainability is no longer just a corporate social responsibility initiative. It is increasingly a factor in procurement decisions, particularly in government contracting and aerospace supply chains.</w:t>
      </w:r>
    </w:p>
    <w:p>
      <w:pPr>
        <w:spacing w:after="100"/>
      </w:pPr>
    </w:p>
    <w:p>
      <w:pPr>
        <w:pStyle w:val="Heading2"/>
        <w:spacing w:before="300" w:after="160"/>
      </w:pPr>
      <w:r>
        <w:rPr>
          <w:rFonts w:ascii="Arial" w:cs="Arial" w:eastAsia="Arial" w:hAnsi="Arial"/>
          <w:b/>
          <w:bCs/>
          <w:color w:val="002855"/>
          <w:sz w:val="30"/>
          <w:szCs w:val="30"/>
        </w:rPr>
        <w:t xml:space="preserve">Government Mandates</w:t>
      </w:r>
    </w:p>
    <w:p>
      <w:pPr>
        <w:spacing w:after="200" w:line="300"/>
      </w:pPr>
      <w:r>
        <w:rPr>
          <w:rFonts w:ascii="Arial" w:cs="Arial" w:eastAsia="Arial" w:hAnsi="Arial"/>
          <w:sz w:val="22"/>
          <w:szCs w:val="22"/>
        </w:rPr>
        <w:t xml:space="preserve">Federal agencies are incorporating sustainability criteria into procurement evaluations. Executive orders on climate and clean energy, combined with the Build America Buy America Act, create a regulatory environment that favors domestic, energy-efficient manufacturing.</w:t>
      </w:r>
    </w:p>
    <w:p>
      <w:pPr>
        <w:spacing w:after="100"/>
      </w:pPr>
    </w:p>
    <w:p>
      <w:pPr>
        <w:pStyle w:val="Heading2"/>
        <w:spacing w:before="300" w:after="160"/>
      </w:pPr>
      <w:r>
        <w:rPr>
          <w:rFonts w:ascii="Arial" w:cs="Arial" w:eastAsia="Arial" w:hAnsi="Arial"/>
          <w:b/>
          <w:bCs/>
          <w:color w:val="002855"/>
          <w:sz w:val="30"/>
          <w:szCs w:val="30"/>
        </w:rPr>
        <w:t xml:space="preserve">OEM Requirements</w:t>
      </w:r>
    </w:p>
    <w:p>
      <w:pPr>
        <w:spacing w:after="200" w:line="300"/>
      </w:pPr>
      <w:r>
        <w:rPr>
          <w:rFonts w:ascii="Arial" w:cs="Arial" w:eastAsia="Arial" w:hAnsi="Arial"/>
          <w:sz w:val="22"/>
          <w:szCs w:val="22"/>
        </w:rPr>
        <w:t xml:space="preserve">Major aerospace OEMs including Boeing, Airbus, and GE have established ambitious sustainability targets. Suppliers who can demonstrate measurable reductions in energy consumption and waste generation gain a competitive advantage in supply chain qualification.</w:t>
      </w:r>
    </w:p>
    <w:p>
      <w:pPr>
        <w:spacing w:after="100"/>
      </w:pPr>
    </w:p>
    <w:p>
      <w:pPr>
        <w:pStyle w:val="Heading2"/>
        <w:spacing w:before="300" w:after="160"/>
      </w:pPr>
      <w:r>
        <w:rPr>
          <w:rFonts w:ascii="Arial" w:cs="Arial" w:eastAsia="Arial" w:hAnsi="Arial"/>
          <w:b/>
          <w:bCs/>
          <w:color w:val="002855"/>
          <w:sz w:val="30"/>
          <w:szCs w:val="30"/>
        </w:rPr>
        <w:t xml:space="preserve">Investor Expectations</w:t>
      </w:r>
    </w:p>
    <w:p>
      <w:pPr>
        <w:spacing w:after="200" w:line="300"/>
      </w:pPr>
      <w:r>
        <w:rPr>
          <w:rFonts w:ascii="Arial" w:cs="Arial" w:eastAsia="Arial" w:hAnsi="Arial"/>
          <w:sz w:val="22"/>
          <w:szCs w:val="22"/>
        </w:rPr>
        <w:t xml:space="preserve">ESG (Environmental, Social, and Governance) reporting has become a standard expectation for companies seeking institutional investment. DDM’s validated energy savings provide a compelling sustainability narrative for the company and its customers.</w:t>
      </w:r>
    </w:p>
    <w:p>
      <w:r>
        <w:br w:type="page"/>
      </w:r>
    </w:p>
    <w:p>
      <w:pPr>
        <w:pStyle w:val="Heading1"/>
        <w:spacing w:before="360" w:after="200"/>
      </w:pPr>
      <w:r>
        <w:rPr>
          <w:rFonts w:ascii="Arial" w:cs="Arial" w:eastAsia="Arial" w:hAnsi="Arial"/>
          <w:b/>
          <w:bCs/>
          <w:color w:val="002855"/>
          <w:sz w:val="40"/>
          <w:szCs w:val="40"/>
        </w:rPr>
        <w:t xml:space="preserve">Conclusion</w:t>
      </w:r>
    </w:p>
    <w:p>
      <w:pPr>
        <w:spacing w:after="200" w:line="300"/>
      </w:pPr>
      <w:r>
        <w:rPr>
          <w:rFonts w:ascii="Arial" w:cs="Arial" w:eastAsia="Arial" w:hAnsi="Arial"/>
          <w:sz w:val="22"/>
          <w:szCs w:val="22"/>
        </w:rPr>
        <w:t xml:space="preserve">The investment casting industry consumes enormous amounts of energy to produce every part. Most of that energy is consumed in process steps that DDM’s technology eliminates entirely.</w:t>
      </w:r>
    </w:p>
    <w:p>
      <w:pPr>
        <w:spacing w:after="200" w:line="300"/>
      </w:pPr>
      <w:r>
        <w:rPr>
          <w:rFonts w:ascii="Arial" w:cs="Arial" w:eastAsia="Arial" w:hAnsi="Arial"/>
          <w:sz w:val="22"/>
          <w:szCs w:val="22"/>
        </w:rPr>
        <w:t xml:space="preserve">With up to 90% energy reduction validated by the U.S. Department of Energy through ARPA-E, DDM Systems offers the most energy-efficient path to precision metal castings available today. Combined with 90% scrap reduction, elimination of hazardous process steps, and supply chain simplification, the environmental case for digital casting is overwhelming.</w:t>
      </w:r>
    </w:p>
    <w:p>
      <w:pPr>
        <w:spacing w:after="200" w:line="300"/>
      </w:pPr>
      <w:r>
        <w:rPr>
          <w:rFonts w:ascii="Arial" w:cs="Arial" w:eastAsia="Arial" w:hAnsi="Arial"/>
          <w:sz w:val="22"/>
          <w:szCs w:val="22"/>
        </w:rPr>
        <w:t xml:space="preserve">For manufacturers facing sustainability mandates, carbon reduction targets, and ESG reporting requirements, the Digital Foundry™ is not just faster and cheaper. It is fundamentally cleaner.</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66B3" w:sz="1"/>
              <w:left w:val="single" w:color="002855" w:sz="6"/>
              <w:bottom w:val="single" w:color="0066B3" w:sz="1"/>
              <w:right w:val="single" w:color="0066B3" w:sz="1"/>
            </w:tcBorders>
            <w:shd w:fill="F5F7FA" w:val="clear"/>
            <w:tcMar>
              <w:top w:type="dxa" w:w="160"/>
              <w:left w:type="dxa" w:w="240"/>
              <w:bottom w:type="dxa" w:w="160"/>
              <w:right w:type="dxa" w:w="240"/>
            </w:tcMar>
          </w:tcPr>
          <w:p>
            <w:pPr>
              <w:spacing w:after="80"/>
            </w:pPr>
            <w:r>
              <w:rPr>
                <w:rFonts w:ascii="Arial" w:cs="Arial" w:eastAsia="Arial" w:hAnsi="Arial"/>
                <w:b/>
                <w:bCs/>
                <w:color w:val="002855"/>
                <w:sz w:val="24"/>
                <w:szCs w:val="24"/>
              </w:rPr>
              <w:t xml:space="preserve">Sustainability Data for Your Supply Chain</w:t>
            </w:r>
          </w:p>
          <w:p>
            <w:pPr>
              <w:spacing w:after="0"/>
            </w:pPr>
            <w:r>
              <w:rPr>
                <w:rFonts w:ascii="Arial" w:cs="Arial" w:eastAsia="Arial" w:hAnsi="Arial"/>
                <w:color w:val="1A1A2E"/>
                <w:sz w:val="22"/>
                <w:szCs w:val="22"/>
              </w:rPr>
              <w:t xml:space="preserve">DDM can provide energy consumption data and environmental impact comparisons to support your sustainability reporting.
www.RapidPrecisionCasting.com  |  470-225-6987  |  suman.das@ddmsys.com</w:t>
            </w:r>
          </w:p>
        </w:tc>
      </w:tr>
    </w:tbl>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0E0E0" w:sz="1"/>
            <w:left w:val="none"/>
            <w:bottom w:val="none"/>
            <w:right w:val="none"/>
          </w:tcBorders>
        </w:tcPr>
        <w:p>
          <w:pPr>
            <w:spacing w:after="0"/>
          </w:pPr>
        </w:p>
      </w:tc>
    </w:tr>
  </w:tbl>
  <w:p>
    <w:pPr>
      <w:jc w:val="center"/>
    </w:pPr>
    <w:r>
      <w:rPr>
        <w:rFonts w:ascii="Arial" w:cs="Arial" w:eastAsia="Arial" w:hAnsi="Arial"/>
        <w:color w:val="002855"/>
        <w:sz w:val="16"/>
        <w:szCs w:val="16"/>
      </w:rPr>
      <w:t xml:space="preserve">www.RapidPrecisionCasting.com  |  © 2026 DDM Systems, Inc.  |  Page </w:t>
    </w:r>
    <w:r>
      <w:rPr>
        <w:rFonts w:ascii="Arial" w:cs="Arial" w:eastAsia="Arial" w:hAnsi="Arial"/>
        <w:color w:val="002855"/>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color w:val="002855"/>
        <w:sz w:val="16"/>
        <w:szCs w:val="16"/>
      </w:rPr>
      <w:t xml:space="preserve">DDM Systems  |  </w:t>
    </w:r>
    <w:r>
      <w:rPr>
        <w:rFonts w:ascii="Arial" w:cs="Arial" w:eastAsia="Arial" w:hAnsi="Arial"/>
        <w:i/>
        <w:iCs/>
        <w:color w:val="0066B3"/>
        <w:sz w:val="16"/>
        <w:szCs w:val="16"/>
      </w:rPr>
      <w:t xml:space="preserve">White Paper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2E"/>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002855"/>
      <w:sz w:val="40"/>
      <w:szCs w:val="40"/>
    </w:rPr>
  </w:style>
  <w:style w:type="paragraph" w:styleId="Heading2">
    <w:name w:val="Heading 2"/>
    <w:basedOn w:val="Normal"/>
    <w:next w:val="Normal"/>
    <w:qFormat/>
    <w:pPr>
      <w:spacing w:before="300" w:after="160"/>
      <w:outlineLvl w:val="1"/>
    </w:pPr>
    <w:rPr>
      <w:rFonts w:ascii="Arial" w:cs="Arial" w:eastAsia="Arial" w:hAnsi="Arial"/>
      <w:b/>
      <w:bCs/>
      <w:color w:val="002855"/>
      <w:sz w:val="30"/>
      <w:szCs w:val="30"/>
    </w:rPr>
  </w:style>
  <w:style w:type="paragraph" w:styleId="Heading3">
    <w:name w:val="Heading 3"/>
    <w:basedOn w:val="Normal"/>
    <w:next w:val="Normal"/>
    <w:qFormat/>
    <w:pPr>
      <w:spacing w:before="240" w:after="120"/>
      <w:outlineLvl w:val="2"/>
    </w:pPr>
    <w:rPr>
      <w:rFonts w:ascii="Arial" w:cs="Arial" w:eastAsia="Arial" w:hAnsi="Arial"/>
      <w:b/>
      <w:bCs/>
      <w:color w:val="0066B3"/>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2026-02-01T21:50:18.465Z</dcterms:created>
  <dcterms:modified xsi:type="dcterms:W3CDTF">2026-02-01T21:50:18.465Z</dcterms:modified>
</cp:coreProperties>
</file>

<file path=docProps/custom.xml><?xml version="1.0" encoding="utf-8"?>
<Properties xmlns="http://schemas.openxmlformats.org/officeDocument/2006/custom-properties" xmlns:vt="http://schemas.openxmlformats.org/officeDocument/2006/docPropsVTypes"/>
</file>