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0"/>
      </w:pPr>
    </w:p>
    <w:p>
      <w:pPr>
        <w:spacing w:after="0"/>
        <w:jc w:val="left"/>
      </w:pPr>
      <w:r>
        <w:rPr>
          <w:rFonts w:ascii="Arial" w:cs="Arial" w:eastAsia="Arial" w:hAnsi="Arial"/>
          <w:b/>
          <w:bCs/>
          <w:caps/>
          <w:color w:val="0066B3"/>
          <w:sz w:val="28"/>
          <w:szCs w:val="28"/>
        </w:rPr>
        <w:t xml:space="preserve">DDM SYSTEMS</w:t>
      </w:r>
    </w:p>
    <w:p>
      <w:pPr>
        <w:spacing w:after="120"/>
        <w:jc w:val="left"/>
      </w:pPr>
      <w:r>
        <w:rPr>
          <w:rFonts w:ascii="Arial" w:cs="Arial" w:eastAsia="Arial" w:hAnsi="Arial"/>
          <w:caps/>
          <w:color w:val="0066B3"/>
          <w:sz w:val="20"/>
          <w:szCs w:val="20"/>
        </w:rPr>
        <w:t xml:space="preserve">WHITE PAPER</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002855" w:sz="6"/>
              <w:left w:val="none"/>
              <w:bottom w:val="none"/>
              <w:right w:val="none"/>
            </w:tcBorders>
          </w:tcPr>
          <w:p>
            <w:pPr>
              <w:spacing w:after="0"/>
            </w:pPr>
          </w:p>
        </w:tc>
      </w:tr>
    </w:tbl>
    <w:p>
      <w:pPr>
        <w:spacing w:after="100"/>
      </w:pPr>
    </w:p>
    <w:p>
      <w:pPr>
        <w:spacing w:after="200" w:line="340"/>
        <w:jc w:val="left"/>
      </w:pPr>
      <w:r>
        <w:rPr>
          <w:rFonts w:ascii="Arial" w:cs="Arial" w:eastAsia="Arial" w:hAnsi="Arial"/>
          <w:b/>
          <w:bCs/>
          <w:color w:val="002855"/>
          <w:sz w:val="52"/>
          <w:szCs w:val="52"/>
        </w:rPr>
        <w:t xml:space="preserve">The Digital Foundry</w:t>
      </w:r>
    </w:p>
    <w:p>
      <w:pPr>
        <w:spacing w:after="600"/>
        <w:jc w:val="left"/>
      </w:pPr>
      <w:r>
        <w:rPr>
          <w:rFonts w:ascii="Arial" w:cs="Arial" w:eastAsia="Arial" w:hAnsi="Arial"/>
          <w:i/>
          <w:iCs/>
          <w:color w:val="0066B3"/>
          <w:sz w:val="26"/>
          <w:szCs w:val="26"/>
        </w:rPr>
        <w:t xml:space="preserve">Why the Future of Precision Casting Is Software-Defined</w:t>
      </w:r>
    </w:p>
    <w:p>
      <w:pPr>
        <w:spacing w:after="100"/>
      </w:pPr>
    </w:p>
    <w:p>
      <w:pPr>
        <w:spacing w:after="100"/>
      </w:pPr>
    </w:p>
    <w:p>
      <w:pPr>
        <w:spacing w:after="100"/>
      </w:pPr>
    </w:p>
    <w:p>
      <w:pPr>
        <w:spacing w:after="100"/>
      </w:pPr>
    </w:p>
    <w:p>
      <w:pPr>
        <w:spacing w:after="60"/>
      </w:pPr>
      <w:r>
        <w:rPr>
          <w:rFonts w:ascii="Arial" w:cs="Arial" w:eastAsia="Arial" w:hAnsi="Arial"/>
          <w:color w:val="002855"/>
          <w:sz w:val="20"/>
          <w:szCs w:val="20"/>
        </w:rPr>
        <w:t xml:space="preserve">DDM Systems  |  The Digital Foundry™</w:t>
      </w:r>
    </w:p>
    <w:p>
      <w:pPr>
        <w:spacing w:after="60"/>
      </w:pPr>
      <w:r>
        <w:rPr>
          <w:rFonts w:ascii="Arial" w:cs="Arial" w:eastAsia="Arial" w:hAnsi="Arial"/>
          <w:color w:val="1A1A2E"/>
          <w:sz w:val="18"/>
          <w:szCs w:val="18"/>
        </w:rPr>
        <w:t xml:space="preserve">1876 Defoor Ave NW, Suite 3, Atlanta, GA 30318</w:t>
      </w:r>
    </w:p>
    <w:p>
      <w:pPr>
        <w:spacing w:after="60"/>
      </w:pPr>
      <w:r>
        <w:rPr>
          <w:rFonts w:ascii="Arial" w:cs="Arial" w:eastAsia="Arial" w:hAnsi="Arial"/>
          <w:color w:val="1A1A2E"/>
          <w:sz w:val="18"/>
          <w:szCs w:val="18"/>
        </w:rPr>
        <w:t xml:space="preserve">www.RapidPrecisionCasting.com  |  470-225-6987</w:t>
      </w:r>
    </w:p>
    <w:p>
      <w:pPr>
        <w:spacing w:after="0"/>
      </w:pPr>
      <w:r>
        <w:rPr>
          <w:rFonts w:ascii="Arial" w:cs="Arial" w:eastAsia="Arial" w:hAnsi="Arial"/>
          <w:i/>
          <w:iCs/>
          <w:color w:val="1A1A2E"/>
          <w:sz w:val="16"/>
          <w:szCs w:val="16"/>
        </w:rPr>
        <w:t xml:space="preserve">© 2026 DDM Systems, Inc. All rights reserved.</w:t>
      </w:r>
    </w:p>
    <w:p>
      <w:r>
        <w:br w:type="page"/>
      </w:r>
    </w:p>
    <w:p>
      <w:pPr>
        <w:pStyle w:val="Heading1"/>
        <w:spacing w:before="360" w:after="200"/>
      </w:pPr>
      <w:r>
        <w:rPr>
          <w:rFonts w:ascii="Arial" w:cs="Arial" w:eastAsia="Arial" w:hAnsi="Arial"/>
          <w:b/>
          <w:bCs/>
          <w:color w:val="002855"/>
          <w:sz w:val="40"/>
          <w:szCs w:val="40"/>
        </w:rPr>
        <w:t xml:space="preserve">Executive Summary</w:t>
      </w:r>
    </w:p>
    <w:p>
      <w:pPr>
        <w:spacing w:after="200" w:line="300"/>
      </w:pPr>
      <w:r>
        <w:rPr>
          <w:rFonts w:ascii="Arial" w:cs="Arial" w:eastAsia="Arial" w:hAnsi="Arial"/>
          <w:sz w:val="22"/>
          <w:szCs w:val="22"/>
        </w:rPr>
        <w:t xml:space="preserve">The investment casting industry is undergoing a generational shift. After decades of incremental improvement to a fundamentally analog process, the convergence of ceramic 3D printing, advanced software, and high-resolution photopolymerization has made it possible to produce precision casting molds entirely from digital data.</w:t>
      </w:r>
    </w:p>
    <w:p>
      <w:pPr>
        <w:spacing w:after="200" w:line="300"/>
      </w:pPr>
      <w:r>
        <w:rPr>
          <w:rFonts w:ascii="Arial" w:cs="Arial" w:eastAsia="Arial" w:hAnsi="Arial"/>
          <w:sz w:val="22"/>
          <w:szCs w:val="22"/>
        </w:rPr>
        <w:t xml:space="preserve">DDM Systems has pioneered this transformation through the Digital Foundry™, a vertically integrated manufacturing platform that combines proprietary hardware, software, and materials into a single end-to-end casting service. Unlike competitors who sell 3D printing equipment for general-purpose ceramic applications, DDM operates as a complete casting solutions provider.</w:t>
      </w:r>
    </w:p>
    <w:p>
      <w:pPr>
        <w:spacing w:after="200" w:line="300"/>
      </w:pPr>
      <w:r>
        <w:rPr>
          <w:rFonts w:ascii="Arial" w:cs="Arial" w:eastAsia="Arial" w:hAnsi="Arial"/>
          <w:sz w:val="22"/>
          <w:szCs w:val="22"/>
        </w:rPr>
        <w:t xml:space="preserve">This white paper explores why the Digital Foundry model represents the future of precision casting, and why the transition from analog to digital manufacturing is accelerating across aerospace, defense, energy, automotive, and medical industries.</w:t>
      </w:r>
    </w:p>
    <w:p>
      <w:r>
        <w:br w:type="page"/>
      </w:r>
    </w:p>
    <w:p>
      <w:pPr>
        <w:pStyle w:val="Heading1"/>
        <w:spacing w:before="360" w:after="200"/>
      </w:pPr>
      <w:r>
        <w:rPr>
          <w:rFonts w:ascii="Arial" w:cs="Arial" w:eastAsia="Arial" w:hAnsi="Arial"/>
          <w:b/>
          <w:bCs/>
          <w:color w:val="002855"/>
          <w:sz w:val="40"/>
          <w:szCs w:val="40"/>
        </w:rPr>
        <w:t xml:space="preserve">The Traditional Foundry Model</w:t>
      </w:r>
    </w:p>
    <w:p>
      <w:pPr>
        <w:spacing w:after="200" w:line="300"/>
      </w:pPr>
      <w:r>
        <w:rPr>
          <w:rFonts w:ascii="Arial" w:cs="Arial" w:eastAsia="Arial" w:hAnsi="Arial"/>
          <w:sz w:val="22"/>
          <w:szCs w:val="22"/>
        </w:rPr>
        <w:t xml:space="preserve">Traditional investment casting foundries are capital-intensive operations that require significant physical infrastructure. A typical foundry maintains warehouses of tooling (dies and patterns for each part number), wax injection equipment, ceramic shell-building rooms, dewax ovens, sintering furnaces, melting furnaces, and finishing departments.</w:t>
      </w:r>
    </w:p>
    <w:p>
      <w:pPr>
        <w:spacing w:after="200" w:line="300"/>
      </w:pPr>
      <w:r>
        <w:rPr>
          <w:rFonts w:ascii="Arial" w:cs="Arial" w:eastAsia="Arial" w:hAnsi="Arial"/>
          <w:sz w:val="22"/>
          <w:szCs w:val="22"/>
        </w:rPr>
        <w:t xml:space="preserve">This model has several structural limitations that become more pronounced as market demands shift toward shorter product lifecycles, greater design complexity, and smaller production volumes.</w:t>
      </w:r>
    </w:p>
    <w:p>
      <w:pPr>
        <w:spacing w:after="100"/>
      </w:pPr>
    </w:p>
    <w:p>
      <w:pPr>
        <w:pStyle w:val="Heading2"/>
        <w:spacing w:before="300" w:after="160"/>
      </w:pPr>
      <w:r>
        <w:rPr>
          <w:rFonts w:ascii="Arial" w:cs="Arial" w:eastAsia="Arial" w:hAnsi="Arial"/>
          <w:b/>
          <w:bCs/>
          <w:color w:val="002855"/>
          <w:sz w:val="30"/>
          <w:szCs w:val="30"/>
        </w:rPr>
        <w:t xml:space="preserve">Structural Limitations of the Analog Foundry</w:t>
      </w:r>
    </w:p>
    <w:p>
      <w:pPr>
        <w:pStyle w:val="ListParagraph"/>
        <w:numPr>
          <w:ilvl w:val="0"/>
          <w:numId w:val="2"/>
        </w:numPr>
        <w:spacing w:after="120" w:line="300"/>
      </w:pPr>
      <w:r>
        <w:rPr>
          <w:rFonts w:ascii="Arial" w:cs="Arial" w:eastAsia="Arial" w:hAnsi="Arial"/>
          <w:sz w:val="22"/>
          <w:szCs w:val="22"/>
        </w:rPr>
        <w:t xml:space="preserve">Tooling creates an economic barrier to entry for new part numbers</w:t>
      </w:r>
    </w:p>
    <w:p>
      <w:pPr>
        <w:pStyle w:val="ListParagraph"/>
        <w:numPr>
          <w:ilvl w:val="0"/>
          <w:numId w:val="2"/>
        </w:numPr>
        <w:spacing w:after="120" w:line="300"/>
      </w:pPr>
      <w:r>
        <w:rPr>
          <w:rFonts w:ascii="Arial" w:cs="Arial" w:eastAsia="Arial" w:hAnsi="Arial"/>
          <w:sz w:val="22"/>
          <w:szCs w:val="22"/>
        </w:rPr>
        <w:t xml:space="preserve">Design changes require new physical tooling at full cost and lead time</w:t>
      </w:r>
    </w:p>
    <w:p>
      <w:pPr>
        <w:pStyle w:val="ListParagraph"/>
        <w:numPr>
          <w:ilvl w:val="0"/>
          <w:numId w:val="2"/>
        </w:numPr>
        <w:spacing w:after="120" w:line="300"/>
      </w:pPr>
      <w:r>
        <w:rPr>
          <w:rFonts w:ascii="Arial" w:cs="Arial" w:eastAsia="Arial" w:hAnsi="Arial"/>
          <w:sz w:val="22"/>
          <w:szCs w:val="22"/>
        </w:rPr>
        <w:t xml:space="preserve">Minimum order quantities are driven by tooling amortization requirements</w:t>
      </w:r>
    </w:p>
    <w:p>
      <w:pPr>
        <w:pStyle w:val="ListParagraph"/>
        <w:numPr>
          <w:ilvl w:val="0"/>
          <w:numId w:val="2"/>
        </w:numPr>
        <w:spacing w:after="120" w:line="300"/>
      </w:pPr>
      <w:r>
        <w:rPr>
          <w:rFonts w:ascii="Arial" w:cs="Arial" w:eastAsia="Arial" w:hAnsi="Arial"/>
          <w:sz w:val="22"/>
          <w:szCs w:val="22"/>
        </w:rPr>
        <w:t xml:space="preserve">Inventory management requires physical storage of tooling for every active part number</w:t>
      </w:r>
    </w:p>
    <w:p>
      <w:pPr>
        <w:pStyle w:val="ListParagraph"/>
        <w:numPr>
          <w:ilvl w:val="0"/>
          <w:numId w:val="2"/>
        </w:numPr>
        <w:spacing w:after="120" w:line="300"/>
      </w:pPr>
      <w:r>
        <w:rPr>
          <w:rFonts w:ascii="Arial" w:cs="Arial" w:eastAsia="Arial" w:hAnsi="Arial"/>
          <w:sz w:val="22"/>
          <w:szCs w:val="22"/>
        </w:rPr>
        <w:t xml:space="preserve">The multi-step shell-building process introduces cumulative defect opportunities</w:t>
      </w:r>
    </w:p>
    <w:p>
      <w:pPr>
        <w:pStyle w:val="ListParagraph"/>
        <w:numPr>
          <w:ilvl w:val="0"/>
          <w:numId w:val="2"/>
        </w:numPr>
        <w:spacing w:after="120" w:line="300"/>
      </w:pPr>
      <w:r>
        <w:rPr>
          <w:rFonts w:ascii="Arial" w:cs="Arial" w:eastAsia="Arial" w:hAnsi="Arial"/>
          <w:sz w:val="22"/>
          <w:szCs w:val="22"/>
        </w:rPr>
        <w:t xml:space="preserve">Lead times are measured in months, not days</w:t>
      </w:r>
    </w:p>
    <w:p>
      <w:pPr>
        <w:spacing w:after="100"/>
      </w:pPr>
    </w:p>
    <w:p>
      <w:pPr>
        <w:spacing w:after="200" w:line="300"/>
      </w:pPr>
      <w:r>
        <w:rPr>
          <w:rFonts w:ascii="Arial" w:cs="Arial" w:eastAsia="Arial" w:hAnsi="Arial"/>
          <w:sz w:val="22"/>
          <w:szCs w:val="22"/>
        </w:rPr>
        <w:t xml:space="preserve">These limitations were acceptable when production runs were long, designs were stable, and customers had predictable multi-year procurement cycles. That world is rapidly disappearing.</w:t>
      </w:r>
    </w:p>
    <w:p>
      <w:r>
        <w:br w:type="page"/>
      </w:r>
    </w:p>
    <w:p>
      <w:pPr>
        <w:pStyle w:val="Heading1"/>
        <w:spacing w:before="360" w:after="200"/>
      </w:pPr>
      <w:r>
        <w:rPr>
          <w:rFonts w:ascii="Arial" w:cs="Arial" w:eastAsia="Arial" w:hAnsi="Arial"/>
          <w:b/>
          <w:bCs/>
          <w:color w:val="002855"/>
          <w:sz w:val="40"/>
          <w:szCs w:val="40"/>
        </w:rPr>
        <w:t xml:space="preserve">The Digital Foundry™ Model</w:t>
      </w:r>
    </w:p>
    <w:p>
      <w:pPr>
        <w:spacing w:after="200" w:line="300"/>
      </w:pPr>
      <w:r>
        <w:rPr>
          <w:rFonts w:ascii="Arial" w:cs="Arial" w:eastAsia="Arial" w:hAnsi="Arial"/>
          <w:sz w:val="22"/>
          <w:szCs w:val="22"/>
        </w:rPr>
        <w:t xml:space="preserve">DDM’s Digital Foundry™ reimagines the foundry as a software-defined manufacturing system. The physical tooling warehouse is replaced by a digital library of CAD files. The multi-step shell-building process is replaced by a single 3D printing step. The wax pattern shop is eliminated entirely.</w:t>
      </w:r>
    </w:p>
    <w:p>
      <w:pPr>
        <w:spacing w:after="100"/>
      </w:pPr>
    </w:p>
    <w:p>
      <w:pPr>
        <w:pStyle w:val="Heading2"/>
        <w:spacing w:before="300" w:after="160"/>
      </w:pPr>
      <w:r>
        <w:rPr>
          <w:rFonts w:ascii="Arial" w:cs="Arial" w:eastAsia="Arial" w:hAnsi="Arial"/>
          <w:b/>
          <w:bCs/>
          <w:color w:val="002855"/>
          <w:sz w:val="30"/>
          <w:szCs w:val="30"/>
        </w:rPr>
        <w:t xml:space="preserve">What Makes the Digital Foundry Different</w:t>
      </w:r>
    </w:p>
    <w:p>
      <w:pPr>
        <w:spacing w:after="200" w:line="300"/>
      </w:pPr>
      <w:r>
        <w:rPr>
          <w:rFonts w:ascii="Arial" w:cs="Arial" w:eastAsia="Arial" w:hAnsi="Arial"/>
          <w:sz w:val="22"/>
          <w:szCs w:val="22"/>
        </w:rPr>
        <w:t xml:space="preserve">The Digital Foundry is built on three proprietary technology pillars.</w:t>
      </w:r>
    </w:p>
    <w:p>
      <w:pPr>
        <w:spacing w:after="100"/>
      </w:pPr>
    </w:p>
    <w:p>
      <w:pPr>
        <w:pStyle w:val="Heading3"/>
        <w:spacing w:before="240" w:after="120"/>
      </w:pPr>
      <w:r>
        <w:rPr>
          <w:rFonts w:ascii="Arial" w:cs="Arial" w:eastAsia="Arial" w:hAnsi="Arial"/>
          <w:b/>
          <w:bCs/>
          <w:color w:val="0066B3"/>
          <w:sz w:val="26"/>
          <w:szCs w:val="26"/>
        </w:rPr>
        <w:t xml:space="preserve">LAMP™ Hardware</w:t>
      </w:r>
    </w:p>
    <w:p>
      <w:pPr>
        <w:spacing w:after="200" w:line="300"/>
      </w:pPr>
      <w:r>
        <w:rPr>
          <w:rFonts w:ascii="Arial" w:cs="Arial" w:eastAsia="Arial" w:hAnsi="Arial"/>
          <w:sz w:val="22"/>
          <w:szCs w:val="22"/>
        </w:rPr>
        <w:t xml:space="preserve">DDM’s LAMP™ printers are purpose-built for investment casting applications. Unlike general-purpose ceramic 3D printers that target a broad range of applications (structural ceramics, dental, biomedical), LAMP machines are optimized specifically for producing casting-grade ceramic shells and cores. The production platform delivers 36,000 cm³ of printed molds per day with 15-micron pixel resolution across 4.1 million simultaneous UV beams.</w:t>
      </w:r>
    </w:p>
    <w:p>
      <w:pPr>
        <w:spacing w:after="100"/>
      </w:pPr>
    </w:p>
    <w:p>
      <w:pPr>
        <w:pStyle w:val="Heading3"/>
        <w:spacing w:before="240" w:after="120"/>
      </w:pPr>
      <w:r>
        <w:rPr>
          <w:rFonts w:ascii="Arial" w:cs="Arial" w:eastAsia="Arial" w:hAnsi="Arial"/>
          <w:b/>
          <w:bCs/>
          <w:color w:val="0066B3"/>
          <w:sz w:val="26"/>
          <w:szCs w:val="26"/>
        </w:rPr>
        <w:t xml:space="preserve">Proprietary Materials</w:t>
      </w:r>
    </w:p>
    <w:p>
      <w:pPr>
        <w:spacing w:after="200" w:line="300"/>
      </w:pPr>
      <w:r>
        <w:rPr>
          <w:rFonts w:ascii="Arial" w:cs="Arial" w:eastAsia="Arial" w:hAnsi="Arial"/>
          <w:sz w:val="22"/>
          <w:szCs w:val="22"/>
        </w:rPr>
        <w:t xml:space="preserve">DDM has developed proprietary ceramic slurry formulations that produce shells with the thermal, mechanical, and surface properties required for investment casting across the full range of alloy families. These materials are not commercially available and represent a significant competitive moat.</w:t>
      </w:r>
    </w:p>
    <w:p>
      <w:pPr>
        <w:spacing w:after="100"/>
      </w:pPr>
    </w:p>
    <w:p>
      <w:pPr>
        <w:pStyle w:val="Heading3"/>
        <w:spacing w:before="240" w:after="120"/>
      </w:pPr>
      <w:r>
        <w:rPr>
          <w:rFonts w:ascii="Arial" w:cs="Arial" w:eastAsia="Arial" w:hAnsi="Arial"/>
          <w:b/>
          <w:bCs/>
          <w:color w:val="0066B3"/>
          <w:sz w:val="26"/>
          <w:szCs w:val="26"/>
        </w:rPr>
        <w:t xml:space="preserve">Integrated Software</w:t>
      </w:r>
    </w:p>
    <w:p>
      <w:pPr>
        <w:spacing w:after="200" w:line="300"/>
      </w:pPr>
      <w:r>
        <w:rPr>
          <w:rFonts w:ascii="Arial" w:cs="Arial" w:eastAsia="Arial" w:hAnsi="Arial"/>
          <w:sz w:val="22"/>
          <w:szCs w:val="22"/>
        </w:rPr>
        <w:t xml:space="preserve">The digital workflow from CAD input through shell design, print optimization, and process control is managed through DDM’s integrated software platform. This enables rapid design iteration, automated shell optimization, and consistent quality across production runs.</w:t>
      </w:r>
    </w:p>
    <w:p>
      <w:r>
        <w:br w:type="page"/>
      </w:r>
    </w:p>
    <w:p>
      <w:pPr>
        <w:pStyle w:val="Heading1"/>
        <w:spacing w:before="360" w:after="200"/>
      </w:pPr>
      <w:r>
        <w:rPr>
          <w:rFonts w:ascii="Arial" w:cs="Arial" w:eastAsia="Arial" w:hAnsi="Arial"/>
          <w:b/>
          <w:bCs/>
          <w:color w:val="002855"/>
          <w:sz w:val="40"/>
          <w:szCs w:val="40"/>
        </w:rPr>
        <w:t xml:space="preserve">Digital Foundry vs. Equipment Sellers</w:t>
      </w:r>
    </w:p>
    <w:p>
      <w:pPr>
        <w:spacing w:after="200" w:line="300"/>
      </w:pPr>
      <w:r>
        <w:rPr>
          <w:rFonts w:ascii="Arial" w:cs="Arial" w:eastAsia="Arial" w:hAnsi="Arial"/>
          <w:sz w:val="22"/>
          <w:szCs w:val="22"/>
        </w:rPr>
        <w:t xml:space="preserve">A critical distinction in the ceramic 3D printing landscape is the difference between companies that sell equipment and companies that deliver finished parts. Most of DDM’s apparent competitors are equipment manufacturers.</w:t>
      </w:r>
    </w:p>
    <w:p>
      <w:pPr>
        <w:spacing w:after="100"/>
      </w:pP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c>
          <w:tcPr>
            <w:tcW w:type="dxa" w:w="3120"/>
            <w:tcBorders>
              <w:top w:val="single" w:color="E0E0E0" w:sz="1"/>
              <w:left w:val="single" w:color="E0E0E0" w:sz="1"/>
              <w:bottom w:val="single" w:color="E0E0E0" w:sz="1"/>
              <w:right w:val="single" w:color="E0E0E0" w:sz="1"/>
            </w:tcBorders>
            <w:shd w:fill="002855" w:val="clear"/>
            <w:tcMar>
              <w:top w:type="dxa" w:w="80"/>
              <w:left w:type="dxa" w:w="120"/>
              <w:bottom w:type="dxa" w:w="80"/>
              <w:right w:type="dxa" w:w="120"/>
            </w:tcMar>
          </w:tcPr>
          <w:p>
            <w:r>
              <w:rPr>
                <w:rFonts w:ascii="Arial" w:cs="Arial" w:eastAsia="Arial" w:hAnsi="Arial"/>
                <w:b/>
                <w:bCs/>
                <w:color w:val="FFFFFF"/>
                <w:sz w:val="20"/>
                <w:szCs w:val="20"/>
              </w:rPr>
              <w:t xml:space="preserve">Factor</w:t>
            </w:r>
          </w:p>
        </w:tc>
        <w:tc>
          <w:tcPr>
            <w:tcW w:type="dxa" w:w="3120"/>
            <w:tcBorders>
              <w:top w:val="single" w:color="E0E0E0" w:sz="1"/>
              <w:left w:val="single" w:color="E0E0E0" w:sz="1"/>
              <w:bottom w:val="single" w:color="E0E0E0" w:sz="1"/>
              <w:right w:val="single" w:color="E0E0E0" w:sz="1"/>
            </w:tcBorders>
            <w:shd w:fill="002855" w:val="clear"/>
            <w:tcMar>
              <w:top w:type="dxa" w:w="80"/>
              <w:left w:type="dxa" w:w="120"/>
              <w:bottom w:type="dxa" w:w="80"/>
              <w:right w:type="dxa" w:w="120"/>
            </w:tcMar>
          </w:tcPr>
          <w:p>
            <w:r>
              <w:rPr>
                <w:rFonts w:ascii="Arial" w:cs="Arial" w:eastAsia="Arial" w:hAnsi="Arial"/>
                <w:b/>
                <w:bCs/>
                <w:color w:val="FFFFFF"/>
                <w:sz w:val="20"/>
                <w:szCs w:val="20"/>
              </w:rPr>
              <w:t xml:space="preserve">Equipment Sellers</w:t>
            </w:r>
          </w:p>
        </w:tc>
        <w:tc>
          <w:tcPr>
            <w:tcW w:type="dxa" w:w="3120"/>
            <w:tcBorders>
              <w:top w:val="single" w:color="E0E0E0" w:sz="1"/>
              <w:left w:val="single" w:color="E0E0E0" w:sz="1"/>
              <w:bottom w:val="single" w:color="E0E0E0" w:sz="1"/>
              <w:right w:val="single" w:color="E0E0E0" w:sz="1"/>
            </w:tcBorders>
            <w:shd w:fill="002855" w:val="clear"/>
            <w:tcMar>
              <w:top w:type="dxa" w:w="80"/>
              <w:left w:type="dxa" w:w="120"/>
              <w:bottom w:type="dxa" w:w="80"/>
              <w:right w:type="dxa" w:w="120"/>
            </w:tcMar>
          </w:tcPr>
          <w:p>
            <w:r>
              <w:rPr>
                <w:rFonts w:ascii="Arial" w:cs="Arial" w:eastAsia="Arial" w:hAnsi="Arial"/>
                <w:b/>
                <w:bCs/>
                <w:color w:val="FFFFFF"/>
                <w:sz w:val="20"/>
                <w:szCs w:val="20"/>
              </w:rPr>
              <w:t xml:space="preserve">DDM Digital Foundry™</w:t>
            </w:r>
          </w:p>
        </w:tc>
      </w:tr>
      <w:tr>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Business Model</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Sell printers to customers</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Deliver finished castings</w:t>
            </w:r>
          </w:p>
        </w:tc>
      </w:tr>
      <w:tr>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Customer Requirement</w:t>
            </w:r>
          </w:p>
        </w:tc>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Buy equipment, develop process</w:t>
            </w:r>
          </w:p>
        </w:tc>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Submit CAD file</w:t>
            </w:r>
          </w:p>
        </w:tc>
      </w:tr>
      <w:tr>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Material Development</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Customer responsibility</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Proprietary, included</w:t>
            </w:r>
          </w:p>
        </w:tc>
      </w:tr>
      <w:tr>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Process Expertise</w:t>
            </w:r>
          </w:p>
        </w:tc>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Customer must develop</w:t>
            </w:r>
          </w:p>
        </w:tc>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Decades of casting expertise built in</w:t>
            </w:r>
          </w:p>
        </w:tc>
      </w:tr>
      <w:tr>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Casting Qualification</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Customer manages</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DDM qualifies to ASTM/ICI standards</w:t>
            </w:r>
          </w:p>
        </w:tc>
      </w:tr>
      <w:tr>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Investment Required</w:t>
            </w:r>
          </w:p>
        </w:tc>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$500K+ for equipment alone</w:t>
            </w:r>
          </w:p>
        </w:tc>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Zero capital equipment investment</w:t>
            </w:r>
          </w:p>
        </w:tc>
      </w:tr>
      <w:tr>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Time to First Part</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Months to years of process development</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Days to weeks</w:t>
            </w:r>
          </w:p>
        </w:tc>
      </w:tr>
    </w:tbl>
    <w:p>
      <w:pPr>
        <w:spacing w:after="100"/>
      </w:pPr>
    </w:p>
    <w:p>
      <w:pPr>
        <w:spacing w:after="200" w:line="300"/>
      </w:pPr>
      <w:r>
        <w:rPr>
          <w:rFonts w:ascii="Arial" w:cs="Arial" w:eastAsia="Arial" w:hAnsi="Arial"/>
          <w:sz w:val="22"/>
          <w:szCs w:val="22"/>
        </w:rPr>
        <w:t xml:space="preserve">For a manufacturer who needs cast metal parts, buying a ceramic 3D printer is analogous to buying a blast furnace when you need steel. The Digital Foundry™ model provides the outcome without requiring the customer to develop an entirely new manufacturing capability in-house.</w:t>
      </w:r>
    </w:p>
    <w:p>
      <w:r>
        <w:br w:type="page"/>
      </w:r>
    </w:p>
    <w:p>
      <w:pPr>
        <w:pStyle w:val="Heading1"/>
        <w:spacing w:before="360" w:after="200"/>
      </w:pPr>
      <w:r>
        <w:rPr>
          <w:rFonts w:ascii="Arial" w:cs="Arial" w:eastAsia="Arial" w:hAnsi="Arial"/>
          <w:b/>
          <w:bCs/>
          <w:color w:val="002855"/>
          <w:sz w:val="40"/>
          <w:szCs w:val="40"/>
        </w:rPr>
        <w:t xml:space="preserve">Market Context</w:t>
      </w:r>
    </w:p>
    <w:p>
      <w:pPr>
        <w:spacing w:after="200" w:line="300"/>
      </w:pPr>
      <w:r>
        <w:rPr>
          <w:rFonts w:ascii="Arial" w:cs="Arial" w:eastAsia="Arial" w:hAnsi="Arial"/>
          <w:sz w:val="22"/>
          <w:szCs w:val="22"/>
        </w:rPr>
        <w:t xml:space="preserve">The shift toward digital casting is being driven by powerful market forces that are unlikely to reverse.</w:t>
      </w:r>
    </w:p>
    <w:p>
      <w:pPr>
        <w:spacing w:after="100"/>
      </w:pPr>
    </w:p>
    <w:p>
      <w:pPr>
        <w:pStyle w:val="Heading2"/>
        <w:spacing w:before="300" w:after="160"/>
      </w:pPr>
      <w:r>
        <w:rPr>
          <w:rFonts w:ascii="Arial" w:cs="Arial" w:eastAsia="Arial" w:hAnsi="Arial"/>
          <w:b/>
          <w:bCs/>
          <w:color w:val="002855"/>
          <w:sz w:val="30"/>
          <w:szCs w:val="30"/>
        </w:rPr>
        <w:t xml:space="preserve">Aerospace Fleet Renewal</w:t>
      </w:r>
    </w:p>
    <w:p>
      <w:pPr>
        <w:spacing w:after="200" w:line="300"/>
      </w:pPr>
      <w:r>
        <w:rPr>
          <w:rFonts w:ascii="Arial" w:cs="Arial" w:eastAsia="Arial" w:hAnsi="Arial"/>
          <w:sz w:val="22"/>
          <w:szCs w:val="22"/>
        </w:rPr>
        <w:t xml:space="preserve">The global commercial aircraft fleet is projected to grow 28% by 2034, from approximately 28,400 to 36,400 aircraft. This growth drives demand for turbine components, structural castings, and hydraulic system parts. At the same time, defense programs require ongoing sustainment of legacy platforms whose original casting supply chains have atrophied.</w:t>
      </w:r>
    </w:p>
    <w:p>
      <w:pPr>
        <w:spacing w:after="100"/>
      </w:pPr>
    </w:p>
    <w:p>
      <w:pPr>
        <w:pStyle w:val="Heading2"/>
        <w:spacing w:before="300" w:after="160"/>
      </w:pPr>
      <w:r>
        <w:rPr>
          <w:rFonts w:ascii="Arial" w:cs="Arial" w:eastAsia="Arial" w:hAnsi="Arial"/>
          <w:b/>
          <w:bCs/>
          <w:color w:val="002855"/>
          <w:sz w:val="30"/>
          <w:szCs w:val="30"/>
        </w:rPr>
        <w:t xml:space="preserve">Defense Modernization</w:t>
      </w:r>
    </w:p>
    <w:p>
      <w:pPr>
        <w:spacing w:after="200" w:line="300"/>
      </w:pPr>
      <w:r>
        <w:rPr>
          <w:rFonts w:ascii="Arial" w:cs="Arial" w:eastAsia="Arial" w:hAnsi="Arial"/>
          <w:sz w:val="22"/>
          <w:szCs w:val="22"/>
        </w:rPr>
        <w:t xml:space="preserve">The U.S. Department of Defense allocated $174.4 billion for procurement in FY2024, with significant portions directed toward aircraft and missile systems. DoD has also invested directly in DDM’s technology through DARPA, ARPA-E, and America Makes programs totaling over $12 million in government-funded development.</w:t>
      </w:r>
    </w:p>
    <w:p>
      <w:pPr>
        <w:spacing w:after="100"/>
      </w:pPr>
    </w:p>
    <w:p>
      <w:pPr>
        <w:pStyle w:val="Heading2"/>
        <w:spacing w:before="300" w:after="160"/>
      </w:pPr>
      <w:r>
        <w:rPr>
          <w:rFonts w:ascii="Arial" w:cs="Arial" w:eastAsia="Arial" w:hAnsi="Arial"/>
          <w:b/>
          <w:bCs/>
          <w:color w:val="002855"/>
          <w:sz w:val="30"/>
          <w:szCs w:val="30"/>
        </w:rPr>
        <w:t xml:space="preserve">Supply Chain Reshoring</w:t>
      </w:r>
    </w:p>
    <w:p>
      <w:pPr>
        <w:spacing w:after="200" w:line="300"/>
      </w:pPr>
      <w:r>
        <w:rPr>
          <w:rFonts w:ascii="Arial" w:cs="Arial" w:eastAsia="Arial" w:hAnsi="Arial"/>
          <w:sz w:val="22"/>
          <w:szCs w:val="22"/>
        </w:rPr>
        <w:t xml:space="preserve">Over 42% of global casting production capacity is now in North America, reflecting continued federal investment in domestic manufacturing infrastructure. The Build America Buy America Act and DFARS specialty metals compliance requirements further incentivize U.S.-based casting production.</w:t>
      </w:r>
    </w:p>
    <w:p>
      <w:pPr>
        <w:spacing w:after="100"/>
      </w:pPr>
    </w:p>
    <w:p>
      <w:pPr>
        <w:pStyle w:val="Heading2"/>
        <w:spacing w:before="300" w:after="160"/>
      </w:pPr>
      <w:r>
        <w:rPr>
          <w:rFonts w:ascii="Arial" w:cs="Arial" w:eastAsia="Arial" w:hAnsi="Arial"/>
          <w:b/>
          <w:bCs/>
          <w:color w:val="002855"/>
          <w:sz w:val="30"/>
          <w:szCs w:val="30"/>
        </w:rPr>
        <w:t xml:space="preserve">Sustainability Requirements</w:t>
      </w:r>
    </w:p>
    <w:p>
      <w:pPr>
        <w:spacing w:after="200" w:line="300"/>
      </w:pPr>
      <w:r>
        <w:rPr>
          <w:rFonts w:ascii="Arial" w:cs="Arial" w:eastAsia="Arial" w:hAnsi="Arial"/>
          <w:sz w:val="22"/>
          <w:szCs w:val="22"/>
        </w:rPr>
        <w:t xml:space="preserve">DDM’s process achieves energy consumption reductions of up to 90% compared to traditional casting, validated through an ARPA-E project with GE. As corporate and government sustainability mandates expand, the environmental profile of the manufacturing process is becoming a competitive differentiator.</w:t>
      </w:r>
    </w:p>
    <w:p>
      <w:r>
        <w:br w:type="page"/>
      </w:r>
    </w:p>
    <w:p>
      <w:pPr>
        <w:pStyle w:val="Heading1"/>
        <w:spacing w:before="360" w:after="200"/>
      </w:pPr>
      <w:r>
        <w:rPr>
          <w:rFonts w:ascii="Arial" w:cs="Arial" w:eastAsia="Arial" w:hAnsi="Arial"/>
          <w:b/>
          <w:bCs/>
          <w:color w:val="002855"/>
          <w:sz w:val="40"/>
          <w:szCs w:val="40"/>
        </w:rPr>
        <w:t xml:space="preserve">Conclusion</w:t>
      </w:r>
    </w:p>
    <w:p>
      <w:pPr>
        <w:spacing w:after="200" w:line="300"/>
      </w:pPr>
      <w:r>
        <w:rPr>
          <w:rFonts w:ascii="Arial" w:cs="Arial" w:eastAsia="Arial" w:hAnsi="Arial"/>
          <w:sz w:val="22"/>
          <w:szCs w:val="22"/>
        </w:rPr>
        <w:t xml:space="preserve">The foundry of the future is digital. It stores designs as files, not tooling as inventory. It produces parts from data, not from wax patterns. It qualifies castings to the same standards as traditional foundries while delivering them 10x faster at half the cost.</w:t>
      </w:r>
    </w:p>
    <w:p>
      <w:pPr>
        <w:spacing w:after="200" w:line="300"/>
      </w:pPr>
      <w:r>
        <w:rPr>
          <w:rFonts w:ascii="Arial" w:cs="Arial" w:eastAsia="Arial" w:hAnsi="Arial"/>
          <w:sz w:val="22"/>
          <w:szCs w:val="22"/>
        </w:rPr>
        <w:t xml:space="preserve">DDM Systems’ Digital Foundry™ is the only fully integrated digital casting platform, combining proprietary hardware, software, and materials with decades of investment casting expertise. The company’s 26+ patents, government-funded technology validation, and strategic partnerships with Signicast, GE, and the U.S. Air Force position it as the category leader in this emerging paradigm.</w:t>
      </w:r>
    </w:p>
    <w:p>
      <w:pPr>
        <w:spacing w:after="200" w:line="300"/>
      </w:pPr>
      <w:r>
        <w:rPr>
          <w:rFonts w:ascii="Arial" w:cs="Arial" w:eastAsia="Arial" w:hAnsi="Arial"/>
          <w:sz w:val="22"/>
          <w:szCs w:val="22"/>
        </w:rPr>
        <w:t xml:space="preserve">For manufacturers, defense program managers, and engineering leaders evaluating the future of their casting supply chains, the question is no longer whether to go digital. It is how fast.</w:t>
      </w:r>
    </w:p>
    <w:p>
      <w:pPr>
        <w:spacing w:after="100"/>
      </w:pP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0066B3" w:sz="1"/>
              <w:left w:val="single" w:color="002855" w:sz="6"/>
              <w:bottom w:val="single" w:color="0066B3" w:sz="1"/>
              <w:right w:val="single" w:color="0066B3" w:sz="1"/>
            </w:tcBorders>
            <w:shd w:fill="F5F7FA" w:val="clear"/>
            <w:tcMar>
              <w:top w:type="dxa" w:w="160"/>
              <w:left w:type="dxa" w:w="240"/>
              <w:bottom w:type="dxa" w:w="160"/>
              <w:right w:type="dxa" w:w="240"/>
            </w:tcMar>
          </w:tcPr>
          <w:p>
            <w:pPr>
              <w:spacing w:after="80"/>
            </w:pPr>
            <w:r>
              <w:rPr>
                <w:rFonts w:ascii="Arial" w:cs="Arial" w:eastAsia="Arial" w:hAnsi="Arial"/>
                <w:b/>
                <w:bCs/>
                <w:color w:val="002855"/>
                <w:sz w:val="24"/>
                <w:szCs w:val="24"/>
              </w:rPr>
              <w:t xml:space="preserve">Learn More About the Digital Foundry™</w:t>
            </w:r>
          </w:p>
          <w:p>
            <w:pPr>
              <w:spacing w:after="0"/>
            </w:pPr>
            <w:r>
              <w:rPr>
                <w:rFonts w:ascii="Arial" w:cs="Arial" w:eastAsia="Arial" w:hAnsi="Arial"/>
                <w:color w:val="1A1A2E"/>
                <w:sz w:val="22"/>
                <w:szCs w:val="22"/>
              </w:rPr>
              <w:t xml:space="preserve">Discover how DDM Systems can transform your casting supply chain.
www.RapidPrecisionCasting.com  |  470-225-6987  |  suman.das@ddmsys.com</w:t>
            </w:r>
          </w:p>
        </w:tc>
      </w:tr>
    </w:tbl>
    <w:sectPr>
      <w:headerReference w:type="default" r:id="rId6"/>
      <w:footerReference w:type="default" r:id="rId7"/>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E0E0E0" w:sz="1"/>
            <w:left w:val="none"/>
            <w:bottom w:val="none"/>
            <w:right w:val="none"/>
          </w:tcBorders>
        </w:tcPr>
        <w:p>
          <w:pPr>
            <w:spacing w:after="0"/>
          </w:pPr>
        </w:p>
      </w:tc>
    </w:tr>
  </w:tbl>
  <w:p>
    <w:pPr>
      <w:jc w:val="center"/>
    </w:pPr>
    <w:r>
      <w:rPr>
        <w:rFonts w:ascii="Arial" w:cs="Arial" w:eastAsia="Arial" w:hAnsi="Arial"/>
        <w:color w:val="002855"/>
        <w:sz w:val="16"/>
        <w:szCs w:val="16"/>
      </w:rPr>
      <w:t xml:space="preserve">www.RapidPrecisionCasting.com  |  © 2026 DDM Systems, Inc.  |  Page </w:t>
    </w:r>
    <w:r>
      <w:rPr>
        <w:rFonts w:ascii="Arial" w:cs="Arial" w:eastAsia="Arial" w:hAnsi="Arial"/>
        <w:color w:val="002855"/>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jc w:val="right"/>
    </w:pPr>
    <w:r>
      <w:rPr>
        <w:rFonts w:ascii="Arial" w:cs="Arial" w:eastAsia="Arial" w:hAnsi="Arial"/>
        <w:color w:val="002855"/>
        <w:sz w:val="16"/>
        <w:szCs w:val="16"/>
      </w:rPr>
      <w:t xml:space="preserve">DDM Systems  |  </w:t>
    </w:r>
    <w:r>
      <w:rPr>
        <w:rFonts w:ascii="Arial" w:cs="Arial" w:eastAsia="Arial" w:hAnsi="Arial"/>
        <w:i/>
        <w:iCs/>
        <w:color w:val="0066B3"/>
        <w:sz w:val="16"/>
        <w:szCs w:val="16"/>
      </w:rPr>
      <w:t xml:space="preserve">White Paper</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1A1A2E"/>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360" w:after="200"/>
      <w:outlineLvl w:val="0"/>
    </w:pPr>
    <w:rPr>
      <w:rFonts w:ascii="Arial" w:cs="Arial" w:eastAsia="Arial" w:hAnsi="Arial"/>
      <w:b/>
      <w:bCs/>
      <w:color w:val="002855"/>
      <w:sz w:val="40"/>
      <w:szCs w:val="40"/>
    </w:rPr>
  </w:style>
  <w:style w:type="paragraph" w:styleId="Heading2">
    <w:name w:val="Heading 2"/>
    <w:basedOn w:val="Normal"/>
    <w:next w:val="Normal"/>
    <w:qFormat/>
    <w:pPr>
      <w:spacing w:before="300" w:after="160"/>
      <w:outlineLvl w:val="1"/>
    </w:pPr>
    <w:rPr>
      <w:rFonts w:ascii="Arial" w:cs="Arial" w:eastAsia="Arial" w:hAnsi="Arial"/>
      <w:b/>
      <w:bCs/>
      <w:color w:val="002855"/>
      <w:sz w:val="30"/>
      <w:szCs w:val="30"/>
    </w:rPr>
  </w:style>
  <w:style w:type="paragraph" w:styleId="Heading3">
    <w:name w:val="Heading 3"/>
    <w:basedOn w:val="Normal"/>
    <w:next w:val="Normal"/>
    <w:qFormat/>
    <w:pPr>
      <w:spacing w:before="240" w:after="120"/>
      <w:outlineLvl w:val="2"/>
    </w:pPr>
    <w:rPr>
      <w:rFonts w:ascii="Arial" w:cs="Arial" w:eastAsia="Arial" w:hAnsi="Arial"/>
      <w:b/>
      <w:bCs/>
      <w:color w:val="0066B3"/>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2026-02-01T21:50:18.421Z</dcterms:created>
  <dcterms:modified xsi:type="dcterms:W3CDTF">2026-02-01T21:50:18.421Z</dcterms:modified>
</cp:coreProperties>
</file>

<file path=docProps/custom.xml><?xml version="1.0" encoding="utf-8"?>
<Properties xmlns="http://schemas.openxmlformats.org/officeDocument/2006/custom-properties" xmlns:vt="http://schemas.openxmlformats.org/officeDocument/2006/docPropsVTypes"/>
</file>