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2400"/>
      </w:pPr>
      <w:r>
        <w:t xml:space="preserve"/>
      </w:r>
    </w:p>
    <w:p>
      <w:pPr>
        <w:spacing w:after="160" w:before="0"/>
        <w:jc w:val="left"/>
      </w:pPr>
      <w:r>
        <w:rPr>
          <w:rFonts w:ascii="Calibri" w:cs="Calibri" w:eastAsia="Calibri" w:hAnsi="Calibri"/>
          <w:b/>
          <w:bCs/>
          <w:color w:val="2E5C8A"/>
          <w:sz w:val="22"/>
          <w:szCs w:val="22"/>
        </w:rPr>
        <w:t xml:space="preserve">DDM SYSTEMS WHITE PAPER</w:t>
      </w:r>
    </w:p>
    <w:p>
      <w:pPr>
        <w:pBdr>
          <w:bottom w:val="single" w:color="1B2A4A" w:sz="24" w:space="1"/>
        </w:pBdr>
        <w:spacing w:after="400" w:before="120"/>
      </w:pPr>
      <w:r>
        <w:rPr>
          <w:rFonts w:ascii="Calibri" w:cs="Calibri" w:eastAsia="Calibri" w:hAnsi="Calibri"/>
          <w:sz w:val="2"/>
          <w:szCs w:val="2"/>
        </w:rPr>
        <w:t xml:space="preserve"/>
      </w:r>
    </w:p>
    <w:p>
      <w:pPr>
        <w:spacing w:after="240" w:before="200" w:line="840" w:lineRule="atLeast"/>
        <w:jc w:val="left"/>
      </w:pPr>
      <w:r>
        <w:rPr>
          <w:rFonts w:ascii="Calibri" w:cs="Calibri" w:eastAsia="Calibri" w:hAnsi="Calibri"/>
          <w:b/>
          <w:bCs/>
          <w:color w:val="1B2A4A"/>
          <w:sz w:val="64"/>
          <w:szCs w:val="64"/>
        </w:rPr>
        <w:t xml:space="preserve">Advancing Drone Turbine Propulsion</w:t>
      </w:r>
    </w:p>
    <w:p>
      <w:pPr>
        <w:spacing w:after="560" w:before="80" w:line="520" w:lineRule="atLeast"/>
        <w:jc w:val="left"/>
      </w:pPr>
      <w:r>
        <w:rPr>
          <w:rFonts w:ascii="Calibri" w:cs="Calibri" w:eastAsia="Calibri" w:hAnsi="Calibri"/>
          <w:b w:val="false"/>
          <w:bCs w:val="false"/>
          <w:color w:val="2E5C8A"/>
          <w:sz w:val="36"/>
          <w:szCs w:val="36"/>
        </w:rPr>
        <w:t xml:space="preserve">The Case for Advanced Digital Investment Casting Facilities</w:t>
      </w:r>
    </w:p>
    <w:p>
      <w:pPr>
        <w:spacing w:after="320" w:before="120" w:line="380" w:lineRule="atLeast"/>
        <w:jc w:val="left"/>
      </w:pPr>
      <w:r>
        <w:rPr>
          <w:rFonts w:ascii="Calibri" w:cs="Calibri" w:eastAsia="Calibri" w:hAnsi="Calibri"/>
          <w:i/>
          <w:iCs/>
          <w:color w:val="2C2C2C"/>
          <w:sz w:val="24"/>
          <w:szCs w:val="24"/>
        </w:rPr>
        <w:t xml:space="preserve">A State of the Art Review of Nickel Superalloys, Attritable Systems, and DoD Replicator Driven Production</w:t>
      </w:r>
    </w:p>
    <w:p>
      <w:pPr>
        <w:spacing w:after="7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1B2A4A" w:sz="2"/>
              <w:left w:val="single" w:color="1B2A4A" w:sz="2"/>
              <w:bottom w:val="single" w:color="1B2A4A" w:sz="2"/>
              <w:right w:val="single" w:color="1B2A4A" w:sz="2"/>
            </w:tcBorders>
            <w:shd w:fill="1B2A4A" w:val="clear"/>
            <w:tcMar>
              <w:top w:type="dxa" w:w="280"/>
              <w:left w:type="dxa" w:w="320"/>
              <w:bottom w:type="dxa" w:w="280"/>
              <w:right w:type="dxa" w:w="320"/>
            </w:tcMar>
          </w:tcPr>
          <w:p>
            <w:pPr>
              <w:spacing w:after="120" w:before="0"/>
            </w:pPr>
            <w:r>
              <w:rPr>
                <w:rFonts w:ascii="Calibri" w:cs="Calibri" w:eastAsia="Calibri" w:hAnsi="Calibri"/>
                <w:b/>
                <w:bCs/>
                <w:color w:val="D5E8F0"/>
                <w:sz w:val="18"/>
                <w:szCs w:val="18"/>
              </w:rPr>
              <w:t xml:space="preserve">PUBLISHED BY</w:t>
            </w:r>
          </w:p>
          <w:p>
            <w:pPr>
              <w:spacing w:after="240" w:before="0"/>
            </w:pPr>
            <w:r>
              <w:rPr>
                <w:rFonts w:ascii="Calibri" w:cs="Calibri" w:eastAsia="Calibri" w:hAnsi="Calibri"/>
                <w:b/>
                <w:bCs/>
                <w:color w:val="FFFFFF"/>
                <w:sz w:val="32"/>
                <w:szCs w:val="32"/>
              </w:rPr>
              <w:t xml:space="preserve">DDM Systems, Inc.</w:t>
            </w:r>
          </w:p>
          <w:p>
            <w:pPr>
              <w:spacing w:after="60" w:before="0"/>
            </w:pPr>
            <w:r>
              <w:rPr>
                <w:rFonts w:ascii="Calibri" w:cs="Calibri" w:eastAsia="Calibri" w:hAnsi="Calibri"/>
                <w:color w:val="D5E8F0"/>
                <w:sz w:val="20"/>
                <w:szCs w:val="20"/>
              </w:rPr>
              <w:t xml:space="preserve">1876 Defoor Avenue NW, Suite 3, Atlanta, GA 30318</w:t>
            </w:r>
          </w:p>
          <w:p>
            <w:pPr>
              <w:spacing w:after="60" w:before="0"/>
            </w:pPr>
            <w:r>
              <w:rPr>
                <w:rFonts w:ascii="Calibri" w:cs="Calibri" w:eastAsia="Calibri" w:hAnsi="Calibri"/>
                <w:b/>
                <w:bCs/>
                <w:color w:val="FFFFFF"/>
                <w:sz w:val="20"/>
                <w:szCs w:val="20"/>
              </w:rPr>
              <w:t xml:space="preserve">www.RapidPrecisionCastings.com</w:t>
            </w:r>
          </w:p>
          <w:p>
            <w:pPr>
              <w:spacing w:after="60" w:before="180"/>
            </w:pPr>
            <w:r>
              <w:rPr>
                <w:rFonts w:ascii="Calibri" w:cs="Calibri" w:eastAsia="Calibri" w:hAnsi="Calibri"/>
                <w:b/>
                <w:bCs/>
                <w:color w:val="D5E8F0"/>
                <w:sz w:val="18"/>
                <w:szCs w:val="18"/>
              </w:rPr>
              <w:t xml:space="preserve">VERSION 1.0   |   APRIL 2026</w:t>
            </w:r>
          </w:p>
        </w:tc>
      </w:tr>
    </w:tbl>
    <w:p>
      <w:pPr>
        <w:sectPr>
          <w:pgSz w:w="12240" w:h="15840" w:orient="portrait"/>
          <w:pgMar w:top="1440" w:right="1440" w:bottom="1440" w:left="1440" w:header="708" w:footer="708" w:gutter="0"/>
          <w:pgNumType/>
          <w:docGrid w:linePitch="360"/>
        </w:sectPr>
      </w:pPr>
    </w:p>
    <w:p>
      <w:pPr>
        <w:pStyle w:val="Heading2"/>
        <w:pageBreakBefore/>
        <w:spacing w:after="140" w:before="300" w:line="300"/>
      </w:pPr>
      <w:r>
        <w:rPr>
          <w:rFonts w:ascii="Calibri" w:cs="Calibri" w:eastAsia="Calibri" w:hAnsi="Calibri"/>
          <w:b/>
          <w:bCs/>
          <w:color w:val="1B2A4A"/>
          <w:sz w:val="28"/>
          <w:szCs w:val="28"/>
        </w:rPr>
        <w:t xml:space="preserve">Publication Notice</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This white paper is published by DDM Systems, Inc. of Atlanta, Georgia, operator of the Digital Foundry and originator of LAMP™, DirectPour™, and SLE™ advanced manufacturing technologies. The content addresses a national security topic of public interest and synthesizes publicly available information with proprietary technical capabilities developed by DDM Systems over nearly two decades.</w:t>
      </w:r>
    </w:p>
    <w:p>
      <w:pPr>
        <w:spacing w:after="120" w:before="60" w:line="300"/>
        <w:jc w:val="both"/>
      </w:pPr>
      <w:r>
        <w:rPr>
          <w:rFonts w:ascii="Calibri" w:cs="Calibri" w:eastAsia="Calibri" w:hAnsi="Calibri"/>
          <w:b w:val="false"/>
          <w:bCs w:val="false"/>
          <w:i w:val="false"/>
          <w:iCs w:val="false"/>
          <w:color w:val="2C2C2C"/>
          <w:sz w:val="22"/>
          <w:szCs w:val="22"/>
        </w:rPr>
        <w:t xml:space="preserve">The analysis in this paper synthesizes public Department of War announcements; industry and trade press reporting on the Replicator initiative; published technical literature on nickel superalloys and investment casting; and original DDM Systems technical documentation. All source material, third-party references, and technical citations are listed in the References section at the end of this paper.</w:t>
      </w:r>
    </w:p>
    <w:p>
      <w:pPr>
        <w:spacing w:after="120" w:before="60" w:line="300"/>
        <w:jc w:val="both"/>
      </w:pPr>
      <w:r>
        <w:rPr>
          <w:rFonts w:ascii="Calibri" w:cs="Calibri" w:eastAsia="Calibri" w:hAnsi="Calibri"/>
          <w:b w:val="false"/>
          <w:bCs w:val="false"/>
          <w:i w:val="false"/>
          <w:iCs w:val="false"/>
          <w:color w:val="2C2C2C"/>
          <w:sz w:val="22"/>
          <w:szCs w:val="22"/>
        </w:rPr>
        <w:t xml:space="preserve">DDM Systems welcomes dialogue with defense agencies, prime contractors, engine original equipment manufacturers, investors, research institutions, and policy stakeholders who share an interest in advancing the domestic propulsion industrial base. Contact information appears in the final section of this document.</w:t>
      </w:r>
    </w:p>
    <w:p>
      <w:pPr>
        <w:spacing w:after="20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B2A4A" w:sz="4"/>
              <w:left w:val="single" w:color="1B2A4A" w:sz="24"/>
              <w:bottom w:val="single" w:color="1B2A4A" w:sz="4"/>
              <w:right w:val="single" w:color="1B2A4A" w:sz="4"/>
            </w:tcBorders>
            <w:shd w:fill="EBF2F7" w:val="clear"/>
            <w:tcMar>
              <w:top w:type="dxa" w:w="180"/>
              <w:left w:type="dxa" w:w="240"/>
              <w:bottom w:type="dxa" w:w="180"/>
              <w:right w:type="dxa" w:w="240"/>
            </w:tcMar>
          </w:tcPr>
          <w:p>
            <w:pPr>
              <w:spacing w:after="40" w:before="40" w:line="280"/>
            </w:pPr>
            <w:r>
              <w:rPr>
                <w:rFonts w:ascii="Calibri" w:cs="Calibri" w:eastAsia="Calibri" w:hAnsi="Calibri"/>
                <w:b/>
                <w:bCs/>
                <w:i w:val="false"/>
                <w:iCs w:val="false"/>
                <w:color w:val="1B2A4A"/>
                <w:sz w:val="21"/>
                <w:szCs w:val="21"/>
              </w:rPr>
              <w:t xml:space="preserve">Confidentiality. </w:t>
            </w:r>
            <w:r>
              <w:rPr>
                <w:rFonts w:ascii="Calibri" w:cs="Calibri" w:eastAsia="Calibri" w:hAnsi="Calibri"/>
                <w:b w:val="false"/>
                <w:bCs w:val="false"/>
                <w:i w:val="false"/>
                <w:iCs w:val="false"/>
                <w:color w:val="2C2C2C"/>
                <w:sz w:val="21"/>
                <w:szCs w:val="21"/>
              </w:rPr>
              <w:t xml:space="preserve">Portions of this white paper describe general characteristics of DDM Systems proprietary processes. Specific process parameters, alloy chemistries, firing schedules, and machine specifications are trade secrets. Publication of general capability information does not constitute disclosure of the underlying methods, which remain protected under the DDM Systems patent portfolio and trade secret program.</w:t>
            </w:r>
          </w:p>
        </w:tc>
      </w:tr>
    </w:tbl>
    <w:p>
      <w:pPr>
        <w:spacing w:after="16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B2A4A" w:sz="4"/>
              <w:left w:val="single" w:color="1B2A4A" w:sz="24"/>
              <w:bottom w:val="single" w:color="1B2A4A" w:sz="4"/>
              <w:right w:val="single" w:color="1B2A4A" w:sz="4"/>
            </w:tcBorders>
            <w:shd w:fill="EBF2F7" w:val="clear"/>
            <w:tcMar>
              <w:top w:type="dxa" w:w="180"/>
              <w:left w:type="dxa" w:w="240"/>
              <w:bottom w:type="dxa" w:w="180"/>
              <w:right w:type="dxa" w:w="240"/>
            </w:tcMar>
          </w:tcPr>
          <w:p>
            <w:pPr>
              <w:spacing w:after="40" w:before="40" w:line="280"/>
            </w:pPr>
            <w:r>
              <w:rPr>
                <w:rFonts w:ascii="Calibri" w:cs="Calibri" w:eastAsia="Calibri" w:hAnsi="Calibri"/>
                <w:b/>
                <w:bCs/>
                <w:i w:val="false"/>
                <w:iCs w:val="false"/>
                <w:color w:val="1B2A4A"/>
                <w:sz w:val="21"/>
                <w:szCs w:val="21"/>
              </w:rPr>
              <w:t xml:space="preserve">Export Control. </w:t>
            </w:r>
            <w:r>
              <w:rPr>
                <w:rFonts w:ascii="Calibri" w:cs="Calibri" w:eastAsia="Calibri" w:hAnsi="Calibri"/>
                <w:b w:val="false"/>
                <w:bCs w:val="false"/>
                <w:i w:val="false"/>
                <w:iCs w:val="false"/>
                <w:color w:val="2C2C2C"/>
                <w:sz w:val="21"/>
                <w:szCs w:val="21"/>
              </w:rPr>
              <w:t xml:space="preserve">DDM Systems is registered with the U.S. Department of State Directorate of Defense Trade Controls under the International Traffic in Arms Regulations. Technical discussions with U.S. persons and qualified foreign partners are conducted in compliance with ITAR, the Export Administration Regulations, and all applicable domestic and international controls.</w:t>
            </w:r>
          </w:p>
        </w:tc>
      </w:tr>
    </w:tbl>
    <w:p>
      <w:pPr>
        <w:pStyle w:val="Heading1"/>
        <w:pageBreakBefore/>
        <w:spacing w:after="200" w:before="400" w:line="300"/>
      </w:pPr>
      <w:r>
        <w:rPr>
          <w:rFonts w:ascii="Calibri" w:cs="Calibri" w:eastAsia="Calibri" w:hAnsi="Calibri"/>
          <w:b/>
          <w:bCs/>
          <w:color w:val="1B2A4A"/>
          <w:sz w:val="36"/>
          <w:szCs w:val="36"/>
        </w:rPr>
        <w:t xml:space="preserve">Contents</w:t>
      </w:r>
    </w:p>
    <w:p>
      <w:pPr>
        <w:pBdr>
          <w:bottom w:val="single" w:color="2E5C8A" w:sz="12" w:space="1"/>
        </w:pBdr>
        <w:spacing w:after="80" w:before="80"/>
      </w:pPr>
      <w:r>
        <w:rPr>
          <w:rFonts w:ascii="Calibri" w:cs="Calibri" w:eastAsia="Calibri" w:hAnsi="Calibri"/>
          <w:sz w:val="2"/>
          <w:szCs w:val="2"/>
        </w:rPr>
        <w:t xml:space="preserve"/>
      </w:r>
    </w:p>
    <w:p>
      <w:pPr>
        <w:spacing w:after="160" w:before="0"/>
      </w:pPr>
      <w:r>
        <w:t xml:space="preserve"/>
      </w:r>
    </w:p>
    <w:p>
      <w:pPr>
        <w:tabs>
          <w:tab w:val="left" w:pos="720"/>
          <w:tab w:val="right" w:pos="9360" w:leader="dot"/>
        </w:tabs>
        <w:spacing w:after="80" w:before="80" w:line="280"/>
      </w:pPr>
      <w:r>
        <w:rPr>
          <w:rFonts w:ascii="Calibri" w:cs="Calibri" w:eastAsia="Calibri" w:hAnsi="Calibri"/>
          <w:b/>
          <w:bCs/>
          <w:color w:val="1B2A4A"/>
          <w:sz w:val="22"/>
          <w:szCs w:val="22"/>
        </w:rPr>
        <w:t xml:space="preserve"/>
      </w:r>
      <w:r>
        <w:rPr>
          <w:rFonts w:ascii="Calibri" w:cs="Calibri" w:eastAsia="Calibri" w:hAnsi="Calibri"/>
          <w:color w:val="2C2C2C"/>
          <w:sz w:val="22"/>
          <w:szCs w:val="22"/>
        </w:rPr>
        <w:t xml:space="preserve">	Executive Summary</w:t>
      </w:r>
      <w:r>
        <w:rPr>
          <w:rFonts w:ascii="Calibri" w:cs="Calibri" w:eastAsia="Calibri" w:hAnsi="Calibri"/>
          <w:color w:val="1B2A4A"/>
          <w:sz w:val="22"/>
          <w:szCs w:val="22"/>
        </w:rPr>
        <w:t xml:space="preserve">	4</w:t>
      </w:r>
    </w:p>
    <w:p>
      <w:pPr>
        <w:tabs>
          <w:tab w:val="left" w:pos="720"/>
          <w:tab w:val="right" w:pos="9360" w:leader="dot"/>
        </w:tabs>
        <w:spacing w:after="80" w:before="80" w:line="280"/>
      </w:pPr>
      <w:r>
        <w:rPr>
          <w:rFonts w:ascii="Calibri" w:cs="Calibri" w:eastAsia="Calibri" w:hAnsi="Calibri"/>
          <w:b/>
          <w:bCs/>
          <w:color w:val="1B2A4A"/>
          <w:sz w:val="22"/>
          <w:szCs w:val="22"/>
        </w:rPr>
        <w:t xml:space="preserve">1</w:t>
      </w:r>
      <w:r>
        <w:rPr>
          <w:rFonts w:ascii="Calibri" w:cs="Calibri" w:eastAsia="Calibri" w:hAnsi="Calibri"/>
          <w:color w:val="2C2C2C"/>
          <w:sz w:val="22"/>
          <w:szCs w:val="22"/>
        </w:rPr>
        <w:t xml:space="preserve">	The Strategic Context</w:t>
      </w:r>
      <w:r>
        <w:rPr>
          <w:rFonts w:ascii="Calibri" w:cs="Calibri" w:eastAsia="Calibri" w:hAnsi="Calibri"/>
          <w:color w:val="1B2A4A"/>
          <w:sz w:val="22"/>
          <w:szCs w:val="22"/>
        </w:rPr>
        <w:t xml:space="preserve">	7</w:t>
      </w:r>
    </w:p>
    <w:p>
      <w:pPr>
        <w:tabs>
          <w:tab w:val="left" w:pos="720"/>
          <w:tab w:val="right" w:pos="9360" w:leader="dot"/>
        </w:tabs>
        <w:spacing w:after="80" w:before="80" w:line="280"/>
      </w:pPr>
      <w:r>
        <w:rPr>
          <w:rFonts w:ascii="Calibri" w:cs="Calibri" w:eastAsia="Calibri" w:hAnsi="Calibri"/>
          <w:b/>
          <w:bCs/>
          <w:color w:val="1B2A4A"/>
          <w:sz w:val="22"/>
          <w:szCs w:val="22"/>
        </w:rPr>
        <w:t xml:space="preserve">2</w:t>
      </w:r>
      <w:r>
        <w:rPr>
          <w:rFonts w:ascii="Calibri" w:cs="Calibri" w:eastAsia="Calibri" w:hAnsi="Calibri"/>
          <w:color w:val="2C2C2C"/>
          <w:sz w:val="22"/>
          <w:szCs w:val="22"/>
        </w:rPr>
        <w:t xml:space="preserve">	State of the Art Turbine Engines in Unmanned Systems</w:t>
      </w:r>
      <w:r>
        <w:rPr>
          <w:rFonts w:ascii="Calibri" w:cs="Calibri" w:eastAsia="Calibri" w:hAnsi="Calibri"/>
          <w:color w:val="1B2A4A"/>
          <w:sz w:val="22"/>
          <w:szCs w:val="22"/>
        </w:rPr>
        <w:t xml:space="preserve">	11</w:t>
      </w:r>
    </w:p>
    <w:p>
      <w:pPr>
        <w:tabs>
          <w:tab w:val="left" w:pos="720"/>
          <w:tab w:val="right" w:pos="9360" w:leader="dot"/>
        </w:tabs>
        <w:spacing w:after="80" w:before="80" w:line="280"/>
      </w:pPr>
      <w:r>
        <w:rPr>
          <w:rFonts w:ascii="Calibri" w:cs="Calibri" w:eastAsia="Calibri" w:hAnsi="Calibri"/>
          <w:b/>
          <w:bCs/>
          <w:color w:val="1B2A4A"/>
          <w:sz w:val="22"/>
          <w:szCs w:val="22"/>
        </w:rPr>
        <w:t xml:space="preserve">3</w:t>
      </w:r>
      <w:r>
        <w:rPr>
          <w:rFonts w:ascii="Calibri" w:cs="Calibri" w:eastAsia="Calibri" w:hAnsi="Calibri"/>
          <w:color w:val="2C2C2C"/>
          <w:sz w:val="22"/>
          <w:szCs w:val="22"/>
        </w:rPr>
        <w:t xml:space="preserve">	Nickel Superalloys and the Case for MAR-M247</w:t>
      </w:r>
      <w:r>
        <w:rPr>
          <w:rFonts w:ascii="Calibri" w:cs="Calibri" w:eastAsia="Calibri" w:hAnsi="Calibri"/>
          <w:color w:val="1B2A4A"/>
          <w:sz w:val="22"/>
          <w:szCs w:val="22"/>
        </w:rPr>
        <w:t xml:space="preserve">	14</w:t>
      </w:r>
    </w:p>
    <w:p>
      <w:pPr>
        <w:tabs>
          <w:tab w:val="left" w:pos="720"/>
          <w:tab w:val="right" w:pos="9360" w:leader="dot"/>
        </w:tabs>
        <w:spacing w:after="80" w:before="80" w:line="280"/>
      </w:pPr>
      <w:r>
        <w:rPr>
          <w:rFonts w:ascii="Calibri" w:cs="Calibri" w:eastAsia="Calibri" w:hAnsi="Calibri"/>
          <w:b/>
          <w:bCs/>
          <w:color w:val="1B2A4A"/>
          <w:sz w:val="22"/>
          <w:szCs w:val="22"/>
        </w:rPr>
        <w:t xml:space="preserve">4</w:t>
      </w:r>
      <w:r>
        <w:rPr>
          <w:rFonts w:ascii="Calibri" w:cs="Calibri" w:eastAsia="Calibri" w:hAnsi="Calibri"/>
          <w:color w:val="2C2C2C"/>
          <w:sz w:val="22"/>
          <w:szCs w:val="22"/>
        </w:rPr>
        <w:t xml:space="preserve">	Conventional Investment Casting and Its Limits</w:t>
      </w:r>
      <w:r>
        <w:rPr>
          <w:rFonts w:ascii="Calibri" w:cs="Calibri" w:eastAsia="Calibri" w:hAnsi="Calibri"/>
          <w:color w:val="1B2A4A"/>
          <w:sz w:val="22"/>
          <w:szCs w:val="22"/>
        </w:rPr>
        <w:t xml:space="preserve">	18</w:t>
      </w:r>
    </w:p>
    <w:p>
      <w:pPr>
        <w:tabs>
          <w:tab w:val="left" w:pos="720"/>
          <w:tab w:val="right" w:pos="9360" w:leader="dot"/>
        </w:tabs>
        <w:spacing w:after="80" w:before="80" w:line="280"/>
      </w:pPr>
      <w:r>
        <w:rPr>
          <w:rFonts w:ascii="Calibri" w:cs="Calibri" w:eastAsia="Calibri" w:hAnsi="Calibri"/>
          <w:b/>
          <w:bCs/>
          <w:color w:val="1B2A4A"/>
          <w:sz w:val="22"/>
          <w:szCs w:val="22"/>
        </w:rPr>
        <w:t xml:space="preserve">5</w:t>
      </w:r>
      <w:r>
        <w:rPr>
          <w:rFonts w:ascii="Calibri" w:cs="Calibri" w:eastAsia="Calibri" w:hAnsi="Calibri"/>
          <w:color w:val="2C2C2C"/>
          <w:sz w:val="22"/>
          <w:szCs w:val="22"/>
        </w:rPr>
        <w:t xml:space="preserve">	The Replicator Initiative</w:t>
      </w:r>
      <w:r>
        <w:rPr>
          <w:rFonts w:ascii="Calibri" w:cs="Calibri" w:eastAsia="Calibri" w:hAnsi="Calibri"/>
          <w:color w:val="1B2A4A"/>
          <w:sz w:val="22"/>
          <w:szCs w:val="22"/>
        </w:rPr>
        <w:t xml:space="preserve">	22</w:t>
      </w:r>
    </w:p>
    <w:p>
      <w:pPr>
        <w:tabs>
          <w:tab w:val="left" w:pos="720"/>
          <w:tab w:val="right" w:pos="9360" w:leader="dot"/>
        </w:tabs>
        <w:spacing w:after="80" w:before="80" w:line="280"/>
      </w:pPr>
      <w:r>
        <w:rPr>
          <w:rFonts w:ascii="Calibri" w:cs="Calibri" w:eastAsia="Calibri" w:hAnsi="Calibri"/>
          <w:b/>
          <w:bCs/>
          <w:color w:val="1B2A4A"/>
          <w:sz w:val="22"/>
          <w:szCs w:val="22"/>
        </w:rPr>
        <w:t xml:space="preserve">6</w:t>
      </w:r>
      <w:r>
        <w:rPr>
          <w:rFonts w:ascii="Calibri" w:cs="Calibri" w:eastAsia="Calibri" w:hAnsi="Calibri"/>
          <w:color w:val="2C2C2C"/>
          <w:sz w:val="22"/>
          <w:szCs w:val="22"/>
        </w:rPr>
        <w:t xml:space="preserve">	Replicator 1. All Domain Attritable Autonomy</w:t>
      </w:r>
      <w:r>
        <w:rPr>
          <w:rFonts w:ascii="Calibri" w:cs="Calibri" w:eastAsia="Calibri" w:hAnsi="Calibri"/>
          <w:color w:val="1B2A4A"/>
          <w:sz w:val="22"/>
          <w:szCs w:val="22"/>
        </w:rPr>
        <w:t xml:space="preserve">	25</w:t>
      </w:r>
    </w:p>
    <w:p>
      <w:pPr>
        <w:tabs>
          <w:tab w:val="left" w:pos="720"/>
          <w:tab w:val="right" w:pos="9360" w:leader="dot"/>
        </w:tabs>
        <w:spacing w:after="80" w:before="80" w:line="280"/>
      </w:pPr>
      <w:r>
        <w:rPr>
          <w:rFonts w:ascii="Calibri" w:cs="Calibri" w:eastAsia="Calibri" w:hAnsi="Calibri"/>
          <w:b/>
          <w:bCs/>
          <w:color w:val="1B2A4A"/>
          <w:sz w:val="22"/>
          <w:szCs w:val="22"/>
        </w:rPr>
        <w:t xml:space="preserve">7</w:t>
      </w:r>
      <w:r>
        <w:rPr>
          <w:rFonts w:ascii="Calibri" w:cs="Calibri" w:eastAsia="Calibri" w:hAnsi="Calibri"/>
          <w:color w:val="2C2C2C"/>
          <w:sz w:val="22"/>
          <w:szCs w:val="22"/>
        </w:rPr>
        <w:t xml:space="preserve">	Replicator 2. Counter Small UAS</w:t>
      </w:r>
      <w:r>
        <w:rPr>
          <w:rFonts w:ascii="Calibri" w:cs="Calibri" w:eastAsia="Calibri" w:hAnsi="Calibri"/>
          <w:color w:val="1B2A4A"/>
          <w:sz w:val="22"/>
          <w:szCs w:val="22"/>
        </w:rPr>
        <w:t xml:space="preserve">	28</w:t>
      </w:r>
    </w:p>
    <w:p>
      <w:pPr>
        <w:tabs>
          <w:tab w:val="left" w:pos="720"/>
          <w:tab w:val="right" w:pos="9360" w:leader="dot"/>
        </w:tabs>
        <w:spacing w:after="80" w:before="80" w:line="280"/>
      </w:pPr>
      <w:r>
        <w:rPr>
          <w:rFonts w:ascii="Calibri" w:cs="Calibri" w:eastAsia="Calibri" w:hAnsi="Calibri"/>
          <w:b/>
          <w:bCs/>
          <w:color w:val="1B2A4A"/>
          <w:sz w:val="22"/>
          <w:szCs w:val="22"/>
        </w:rPr>
        <w:t xml:space="preserve">8</w:t>
      </w:r>
      <w:r>
        <w:rPr>
          <w:rFonts w:ascii="Calibri" w:cs="Calibri" w:eastAsia="Calibri" w:hAnsi="Calibri"/>
          <w:color w:val="2C2C2C"/>
          <w:sz w:val="22"/>
          <w:szCs w:val="22"/>
        </w:rPr>
        <w:t xml:space="preserve">	The Manufacturing Gap</w:t>
      </w:r>
      <w:r>
        <w:rPr>
          <w:rFonts w:ascii="Calibri" w:cs="Calibri" w:eastAsia="Calibri" w:hAnsi="Calibri"/>
          <w:color w:val="1B2A4A"/>
          <w:sz w:val="22"/>
          <w:szCs w:val="22"/>
        </w:rPr>
        <w:t xml:space="preserve">	31</w:t>
      </w:r>
    </w:p>
    <w:p>
      <w:pPr>
        <w:tabs>
          <w:tab w:val="left" w:pos="720"/>
          <w:tab w:val="right" w:pos="9360" w:leader="dot"/>
        </w:tabs>
        <w:spacing w:after="80" w:before="80" w:line="280"/>
      </w:pPr>
      <w:r>
        <w:rPr>
          <w:rFonts w:ascii="Calibri" w:cs="Calibri" w:eastAsia="Calibri" w:hAnsi="Calibri"/>
          <w:b/>
          <w:bCs/>
          <w:color w:val="1B2A4A"/>
          <w:sz w:val="22"/>
          <w:szCs w:val="22"/>
        </w:rPr>
        <w:t xml:space="preserve">9</w:t>
      </w:r>
      <w:r>
        <w:rPr>
          <w:rFonts w:ascii="Calibri" w:cs="Calibri" w:eastAsia="Calibri" w:hAnsi="Calibri"/>
          <w:color w:val="2C2C2C"/>
          <w:sz w:val="22"/>
          <w:szCs w:val="22"/>
        </w:rPr>
        <w:t xml:space="preserve">	Digital Investment Casting as the Solution</w:t>
      </w:r>
      <w:r>
        <w:rPr>
          <w:rFonts w:ascii="Calibri" w:cs="Calibri" w:eastAsia="Calibri" w:hAnsi="Calibri"/>
          <w:color w:val="1B2A4A"/>
          <w:sz w:val="22"/>
          <w:szCs w:val="22"/>
        </w:rPr>
        <w:t xml:space="preserve">	34</w:t>
      </w:r>
    </w:p>
    <w:p>
      <w:pPr>
        <w:tabs>
          <w:tab w:val="left" w:pos="720"/>
          <w:tab w:val="right" w:pos="9360" w:leader="dot"/>
        </w:tabs>
        <w:spacing w:after="80" w:before="80" w:line="280"/>
      </w:pPr>
      <w:r>
        <w:rPr>
          <w:rFonts w:ascii="Calibri" w:cs="Calibri" w:eastAsia="Calibri" w:hAnsi="Calibri"/>
          <w:b/>
          <w:bCs/>
          <w:color w:val="1B2A4A"/>
          <w:sz w:val="22"/>
          <w:szCs w:val="22"/>
        </w:rPr>
        <w:t xml:space="preserve">10</w:t>
      </w:r>
      <w:r>
        <w:rPr>
          <w:rFonts w:ascii="Calibri" w:cs="Calibri" w:eastAsia="Calibri" w:hAnsi="Calibri"/>
          <w:color w:val="2C2C2C"/>
          <w:sz w:val="22"/>
          <w:szCs w:val="22"/>
        </w:rPr>
        <w:t xml:space="preserve">	The DDM Systems Technology Stack</w:t>
      </w:r>
      <w:r>
        <w:rPr>
          <w:rFonts w:ascii="Calibri" w:cs="Calibri" w:eastAsia="Calibri" w:hAnsi="Calibri"/>
          <w:color w:val="1B2A4A"/>
          <w:sz w:val="22"/>
          <w:szCs w:val="22"/>
        </w:rPr>
        <w:t xml:space="preserve">	38</w:t>
      </w:r>
    </w:p>
    <w:p>
      <w:pPr>
        <w:tabs>
          <w:tab w:val="left" w:pos="720"/>
          <w:tab w:val="right" w:pos="9360" w:leader="dot"/>
        </w:tabs>
        <w:spacing w:after="80" w:before="80" w:line="280"/>
      </w:pPr>
      <w:r>
        <w:rPr>
          <w:rFonts w:ascii="Calibri" w:cs="Calibri" w:eastAsia="Calibri" w:hAnsi="Calibri"/>
          <w:b/>
          <w:bCs/>
          <w:color w:val="1B2A4A"/>
          <w:sz w:val="22"/>
          <w:szCs w:val="22"/>
        </w:rPr>
        <w:t xml:space="preserve">11</w:t>
      </w:r>
      <w:r>
        <w:rPr>
          <w:rFonts w:ascii="Calibri" w:cs="Calibri" w:eastAsia="Calibri" w:hAnsi="Calibri"/>
          <w:color w:val="2C2C2C"/>
          <w:sz w:val="22"/>
          <w:szCs w:val="22"/>
        </w:rPr>
        <w:t xml:space="preserve">	Why New Facilities Are Required</w:t>
      </w:r>
      <w:r>
        <w:rPr>
          <w:rFonts w:ascii="Calibri" w:cs="Calibri" w:eastAsia="Calibri" w:hAnsi="Calibri"/>
          <w:color w:val="1B2A4A"/>
          <w:sz w:val="22"/>
          <w:szCs w:val="22"/>
        </w:rPr>
        <w:t xml:space="preserve">	43</w:t>
      </w:r>
    </w:p>
    <w:p>
      <w:pPr>
        <w:tabs>
          <w:tab w:val="left" w:pos="720"/>
          <w:tab w:val="right" w:pos="9360" w:leader="dot"/>
        </w:tabs>
        <w:spacing w:after="80" w:before="80" w:line="280"/>
      </w:pPr>
      <w:r>
        <w:rPr>
          <w:rFonts w:ascii="Calibri" w:cs="Calibri" w:eastAsia="Calibri" w:hAnsi="Calibri"/>
          <w:b/>
          <w:bCs/>
          <w:color w:val="1B2A4A"/>
          <w:sz w:val="22"/>
          <w:szCs w:val="22"/>
        </w:rPr>
        <w:t xml:space="preserve">12</w:t>
      </w:r>
      <w:r>
        <w:rPr>
          <w:rFonts w:ascii="Calibri" w:cs="Calibri" w:eastAsia="Calibri" w:hAnsi="Calibri"/>
          <w:color w:val="2C2C2C"/>
          <w:sz w:val="22"/>
          <w:szCs w:val="22"/>
        </w:rPr>
        <w:t xml:space="preserve">	Business and Economic Analysis</w:t>
      </w:r>
      <w:r>
        <w:rPr>
          <w:rFonts w:ascii="Calibri" w:cs="Calibri" w:eastAsia="Calibri" w:hAnsi="Calibri"/>
          <w:color w:val="1B2A4A"/>
          <w:sz w:val="22"/>
          <w:szCs w:val="22"/>
        </w:rPr>
        <w:t xml:space="preserve">	46</w:t>
      </w:r>
    </w:p>
    <w:p>
      <w:pPr>
        <w:tabs>
          <w:tab w:val="left" w:pos="720"/>
          <w:tab w:val="right" w:pos="9360" w:leader="dot"/>
        </w:tabs>
        <w:spacing w:after="80" w:before="80" w:line="280"/>
      </w:pPr>
      <w:r>
        <w:rPr>
          <w:rFonts w:ascii="Calibri" w:cs="Calibri" w:eastAsia="Calibri" w:hAnsi="Calibri"/>
          <w:b/>
          <w:bCs/>
          <w:color w:val="1B2A4A"/>
          <w:sz w:val="22"/>
          <w:szCs w:val="22"/>
        </w:rPr>
        <w:t xml:space="preserve">13</w:t>
      </w:r>
      <w:r>
        <w:rPr>
          <w:rFonts w:ascii="Calibri" w:cs="Calibri" w:eastAsia="Calibri" w:hAnsi="Calibri"/>
          <w:color w:val="2C2C2C"/>
          <w:sz w:val="22"/>
          <w:szCs w:val="22"/>
        </w:rPr>
        <w:t xml:space="preserve">	Recommended Path Forward</w:t>
      </w:r>
      <w:r>
        <w:rPr>
          <w:rFonts w:ascii="Calibri" w:cs="Calibri" w:eastAsia="Calibri" w:hAnsi="Calibri"/>
          <w:color w:val="1B2A4A"/>
          <w:sz w:val="22"/>
          <w:szCs w:val="22"/>
        </w:rPr>
        <w:t xml:space="preserve">	50</w:t>
      </w:r>
    </w:p>
    <w:p>
      <w:pPr>
        <w:tabs>
          <w:tab w:val="left" w:pos="720"/>
          <w:tab w:val="right" w:pos="9360" w:leader="dot"/>
        </w:tabs>
        <w:spacing w:after="80" w:before="80" w:line="280"/>
      </w:pPr>
      <w:r>
        <w:rPr>
          <w:rFonts w:ascii="Calibri" w:cs="Calibri" w:eastAsia="Calibri" w:hAnsi="Calibri"/>
          <w:b/>
          <w:bCs/>
          <w:color w:val="1B2A4A"/>
          <w:sz w:val="22"/>
          <w:szCs w:val="22"/>
        </w:rPr>
        <w:t xml:space="preserve">14</w:t>
      </w:r>
      <w:r>
        <w:rPr>
          <w:rFonts w:ascii="Calibri" w:cs="Calibri" w:eastAsia="Calibri" w:hAnsi="Calibri"/>
          <w:color w:val="2C2C2C"/>
          <w:sz w:val="22"/>
          <w:szCs w:val="22"/>
        </w:rPr>
        <w:t xml:space="preserve">	Partnership Model and Stakeholder Map</w:t>
      </w:r>
      <w:r>
        <w:rPr>
          <w:rFonts w:ascii="Calibri" w:cs="Calibri" w:eastAsia="Calibri" w:hAnsi="Calibri"/>
          <w:color w:val="1B2A4A"/>
          <w:sz w:val="22"/>
          <w:szCs w:val="22"/>
        </w:rPr>
        <w:t xml:space="preserve">	54</w:t>
      </w:r>
    </w:p>
    <w:p>
      <w:pPr>
        <w:tabs>
          <w:tab w:val="left" w:pos="720"/>
          <w:tab w:val="right" w:pos="9360" w:leader="dot"/>
        </w:tabs>
        <w:spacing w:after="80" w:before="80" w:line="280"/>
      </w:pPr>
      <w:r>
        <w:rPr>
          <w:rFonts w:ascii="Calibri" w:cs="Calibri" w:eastAsia="Calibri" w:hAnsi="Calibri"/>
          <w:b/>
          <w:bCs/>
          <w:color w:val="1B2A4A"/>
          <w:sz w:val="22"/>
          <w:szCs w:val="22"/>
        </w:rPr>
        <w:t xml:space="preserve">15</w:t>
      </w:r>
      <w:r>
        <w:rPr>
          <w:rFonts w:ascii="Calibri" w:cs="Calibri" w:eastAsia="Calibri" w:hAnsi="Calibri"/>
          <w:color w:val="2C2C2C"/>
          <w:sz w:val="22"/>
          <w:szCs w:val="22"/>
        </w:rPr>
        <w:t xml:space="preserve">	Risk Management</w:t>
      </w:r>
      <w:r>
        <w:rPr>
          <w:rFonts w:ascii="Calibri" w:cs="Calibri" w:eastAsia="Calibri" w:hAnsi="Calibri"/>
          <w:color w:val="1B2A4A"/>
          <w:sz w:val="22"/>
          <w:szCs w:val="22"/>
        </w:rPr>
        <w:t xml:space="preserve">	57</w:t>
      </w:r>
    </w:p>
    <w:p>
      <w:pPr>
        <w:tabs>
          <w:tab w:val="left" w:pos="720"/>
          <w:tab w:val="right" w:pos="9360" w:leader="dot"/>
        </w:tabs>
        <w:spacing w:after="80" w:before="80" w:line="280"/>
      </w:pPr>
      <w:r>
        <w:rPr>
          <w:rFonts w:ascii="Calibri" w:cs="Calibri" w:eastAsia="Calibri" w:hAnsi="Calibri"/>
          <w:b/>
          <w:bCs/>
          <w:color w:val="1B2A4A"/>
          <w:sz w:val="22"/>
          <w:szCs w:val="22"/>
        </w:rPr>
        <w:t xml:space="preserve">16</w:t>
      </w:r>
      <w:r>
        <w:rPr>
          <w:rFonts w:ascii="Calibri" w:cs="Calibri" w:eastAsia="Calibri" w:hAnsi="Calibri"/>
          <w:color w:val="2C2C2C"/>
          <w:sz w:val="22"/>
          <w:szCs w:val="22"/>
        </w:rPr>
        <w:t xml:space="preserve">	Conclusions and Call to Action</w:t>
      </w:r>
      <w:r>
        <w:rPr>
          <w:rFonts w:ascii="Calibri" w:cs="Calibri" w:eastAsia="Calibri" w:hAnsi="Calibri"/>
          <w:color w:val="1B2A4A"/>
          <w:sz w:val="22"/>
          <w:szCs w:val="22"/>
        </w:rPr>
        <w:t xml:space="preserve">	60</w:t>
      </w:r>
    </w:p>
    <w:p>
      <w:pPr>
        <w:spacing w:after="200" w:before="0"/>
      </w:pPr>
      <w:r>
        <w:t xml:space="preserve"/>
      </w:r>
    </w:p>
    <w:p>
      <w:pPr>
        <w:tabs>
          <w:tab w:val="left" w:pos="720"/>
          <w:tab w:val="right" w:pos="9360" w:leader="dot"/>
        </w:tabs>
        <w:spacing w:after="80" w:before="80" w:line="280"/>
      </w:pPr>
      <w:r>
        <w:rPr>
          <w:rFonts w:ascii="Calibri" w:cs="Calibri" w:eastAsia="Calibri" w:hAnsi="Calibri"/>
          <w:b/>
          <w:bCs/>
          <w:color w:val="1B2A4A"/>
          <w:sz w:val="22"/>
          <w:szCs w:val="22"/>
        </w:rPr>
        <w:t xml:space="preserve">A</w:t>
      </w:r>
      <w:r>
        <w:rPr>
          <w:rFonts w:ascii="Calibri" w:cs="Calibri" w:eastAsia="Calibri" w:hAnsi="Calibri"/>
          <w:color w:val="2C2C2C"/>
          <w:sz w:val="22"/>
          <w:szCs w:val="22"/>
        </w:rPr>
        <w:t xml:space="preserve">	Technical References</w:t>
      </w:r>
      <w:r>
        <w:rPr>
          <w:rFonts w:ascii="Calibri" w:cs="Calibri" w:eastAsia="Calibri" w:hAnsi="Calibri"/>
          <w:color w:val="1B2A4A"/>
          <w:sz w:val="22"/>
          <w:szCs w:val="22"/>
        </w:rPr>
        <w:t xml:space="preserve">	62</w:t>
      </w:r>
    </w:p>
    <w:p>
      <w:pPr>
        <w:tabs>
          <w:tab w:val="left" w:pos="720"/>
          <w:tab w:val="right" w:pos="9360" w:leader="dot"/>
        </w:tabs>
        <w:spacing w:after="80" w:before="80" w:line="280"/>
      </w:pPr>
      <w:r>
        <w:rPr>
          <w:rFonts w:ascii="Calibri" w:cs="Calibri" w:eastAsia="Calibri" w:hAnsi="Calibri"/>
          <w:b/>
          <w:bCs/>
          <w:color w:val="1B2A4A"/>
          <w:sz w:val="22"/>
          <w:szCs w:val="22"/>
        </w:rPr>
        <w:t xml:space="preserve">B</w:t>
      </w:r>
      <w:r>
        <w:rPr>
          <w:rFonts w:ascii="Calibri" w:cs="Calibri" w:eastAsia="Calibri" w:hAnsi="Calibri"/>
          <w:color w:val="2C2C2C"/>
          <w:sz w:val="22"/>
          <w:szCs w:val="22"/>
        </w:rPr>
        <w:t xml:space="preserve">	DDM Systems Company Profile</w:t>
      </w:r>
      <w:r>
        <w:rPr>
          <w:rFonts w:ascii="Calibri" w:cs="Calibri" w:eastAsia="Calibri" w:hAnsi="Calibri"/>
          <w:color w:val="1B2A4A"/>
          <w:sz w:val="22"/>
          <w:szCs w:val="22"/>
        </w:rPr>
        <w:t xml:space="preserve">	65</w:t>
      </w:r>
    </w:p>
    <w:p>
      <w:pPr>
        <w:tabs>
          <w:tab w:val="left" w:pos="720"/>
          <w:tab w:val="right" w:pos="9360" w:leader="dot"/>
        </w:tabs>
        <w:spacing w:after="80" w:before="80" w:line="280"/>
      </w:pPr>
      <w:r>
        <w:rPr>
          <w:rFonts w:ascii="Calibri" w:cs="Calibri" w:eastAsia="Calibri" w:hAnsi="Calibri"/>
          <w:b/>
          <w:bCs/>
          <w:color w:val="1B2A4A"/>
          <w:sz w:val="22"/>
          <w:szCs w:val="22"/>
        </w:rPr>
        <w:t xml:space="preserve">C</w:t>
      </w:r>
      <w:r>
        <w:rPr>
          <w:rFonts w:ascii="Calibri" w:cs="Calibri" w:eastAsia="Calibri" w:hAnsi="Calibri"/>
          <w:color w:val="2C2C2C"/>
          <w:sz w:val="22"/>
          <w:szCs w:val="22"/>
        </w:rPr>
        <w:t xml:space="preserve">	Glossary of Terms</w:t>
      </w:r>
      <w:r>
        <w:rPr>
          <w:rFonts w:ascii="Calibri" w:cs="Calibri" w:eastAsia="Calibri" w:hAnsi="Calibri"/>
          <w:color w:val="1B2A4A"/>
          <w:sz w:val="22"/>
          <w:szCs w:val="22"/>
        </w:rPr>
        <w:t xml:space="preserve">	68</w:t>
      </w:r>
    </w:p>
    <w:p>
      <w:pPr>
        <w:pageBreakBefore/>
        <w:spacing w:after="60" w:before="200"/>
      </w:pPr>
      <w:r>
        <w:rPr>
          <w:rFonts w:ascii="Calibri" w:cs="Calibri" w:eastAsia="Calibri" w:hAnsi="Calibri"/>
          <w:b/>
          <w:bCs/>
          <w:color w:val="2E5C8A"/>
          <w:sz w:val="18"/>
          <w:szCs w:val="18"/>
        </w:rPr>
        <w:t xml:space="preserve">WHITE PAPER</w:t>
      </w:r>
    </w:p>
    <w:p>
      <w:pPr>
        <w:pStyle w:val="Heading1"/>
        <w:spacing w:after="200" w:before="400" w:line="300"/>
      </w:pPr>
      <w:r>
        <w:rPr>
          <w:rFonts w:ascii="Calibri" w:cs="Calibri" w:eastAsia="Calibri" w:hAnsi="Calibri"/>
          <w:b/>
          <w:bCs/>
          <w:color w:val="1B2A4A"/>
          <w:sz w:val="36"/>
          <w:szCs w:val="36"/>
        </w:rPr>
        <w:t xml:space="preserve">Executive Summary</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High performance and attritable drone systems have become the defining capability of modern asymmetric warfare. From the Ukrainian battlefield to the Red Sea to the Indo-Pacific, unmanned systems equipped with turbine engine propulsion are reshaping force design, operational planning, and procurement priorities. The Department of Defense has recognized this reality through the Replicator initiative and its subsequent expansion under Replicator 2, which together establish a multi-year demand signal for low-cost, high-performance turbine engines at volumes previously unseen in the U.S. propulsion industrial base.</w:t>
      </w:r>
    </w:p>
    <w:p>
      <w:pPr>
        <w:spacing w:after="120" w:before="60" w:line="300"/>
        <w:jc w:val="both"/>
      </w:pPr>
      <w:r>
        <w:rPr>
          <w:rFonts w:ascii="Calibri" w:cs="Calibri" w:eastAsia="Calibri" w:hAnsi="Calibri"/>
          <w:b w:val="false"/>
          <w:bCs w:val="false"/>
          <w:i w:val="false"/>
          <w:iCs w:val="false"/>
          <w:color w:val="2C2C2C"/>
          <w:sz w:val="22"/>
          <w:szCs w:val="22"/>
        </w:rPr>
        <w:t xml:space="preserve">The propulsion bottleneck in this emerging architecture is not motor design, control software, or autonomy. It is the hot-section turbine blade, cast in nickel superalloy, that defines the engine performance above one thousand degrees Celsius. MAR-M247 and related directionally solidified nickel superalloys remain the definitive solution. No material substitute delivers comparable creep resistance, oxidation performance, and fatigue life at the temperatures and duty cycles required by military microturbines.</w:t>
      </w:r>
    </w:p>
    <w:p>
      <w:pPr>
        <w:spacing w:after="120" w:before="60" w:line="300"/>
        <w:jc w:val="both"/>
      </w:pPr>
      <w:r>
        <w:rPr>
          <w:rFonts w:ascii="Calibri" w:cs="Calibri" w:eastAsia="Calibri" w:hAnsi="Calibri"/>
          <w:b w:val="false"/>
          <w:bCs w:val="false"/>
          <w:i w:val="false"/>
          <w:iCs w:val="false"/>
          <w:color w:val="2C2C2C"/>
          <w:sz w:val="22"/>
          <w:szCs w:val="22"/>
        </w:rPr>
        <w:t xml:space="preserve">The problem is that the manufacturing base for these parts was built for a world of low volume, high margin, fully qualified commercial and defense aerospace production. Conventional investment casting of MAR-M247 blades carries a high per-kilogram cost, requires eighteen to thirty-six months for first article qualification, and depends on a domestic ceramic shell supply chain that cannot scale to the tens of thousands of components per month that Replicator demand implies. This is the central contradiction that this paper addresses.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B2A4A" w:sz="4"/>
              <w:left w:val="single" w:color="1B2A4A" w:sz="24"/>
              <w:bottom w:val="single" w:color="1B2A4A" w:sz="4"/>
              <w:right w:val="single" w:color="1B2A4A" w:sz="4"/>
            </w:tcBorders>
            <w:shd w:fill="D5E8F0" w:val="clear"/>
            <w:tcMar>
              <w:top w:type="dxa" w:w="180"/>
              <w:left w:type="dxa" w:w="240"/>
              <w:bottom w:type="dxa" w:w="180"/>
              <w:right w:type="dxa" w:w="240"/>
            </w:tcMar>
          </w:tcPr>
          <w:p>
            <w:pPr>
              <w:spacing w:after="80" w:before="80"/>
            </w:pPr>
            <w:r>
              <w:rPr>
                <w:rFonts w:ascii="Calibri" w:cs="Calibri" w:eastAsia="Calibri" w:hAnsi="Calibri"/>
                <w:b/>
                <w:bCs/>
                <w:color w:val="1B2A4A"/>
                <w:sz w:val="22"/>
                <w:szCs w:val="22"/>
              </w:rPr>
              <w:t xml:space="preserve">THE FOUR PILLARS OF THIS PAPER</w:t>
            </w:r>
          </w:p>
          <w:p>
            <w:pPr>
              <w:spacing w:after="40" w:before="40" w:line="280"/>
            </w:pPr>
            <w:r>
              <w:rPr>
                <w:rFonts w:ascii="Calibri" w:cs="Calibri" w:eastAsia="Calibri" w:hAnsi="Calibri"/>
                <w:b/>
                <w:bCs/>
                <w:i w:val="false"/>
                <w:iCs w:val="false"/>
                <w:color w:val="1B2A4A"/>
                <w:sz w:val="21"/>
                <w:szCs w:val="21"/>
              </w:rPr>
              <w:t xml:space="preserve">1. Propulsion Imperative. </w:t>
            </w:r>
            <w:r>
              <w:rPr>
                <w:rFonts w:ascii="Calibri" w:cs="Calibri" w:eastAsia="Calibri" w:hAnsi="Calibri"/>
                <w:b w:val="false"/>
                <w:bCs w:val="false"/>
                <w:i w:val="false"/>
                <w:iCs w:val="false"/>
                <w:color w:val="2C2C2C"/>
                <w:sz w:val="21"/>
                <w:szCs w:val="21"/>
              </w:rPr>
              <w:t xml:space="preserve">Turbine engines are essential for high-performance and attritable drones, and nickel superalloys are the only viable hot-section material.</w:t>
            </w:r>
          </w:p>
          <w:p>
            <w:pPr>
              <w:spacing w:after="40" w:before="40" w:line="280"/>
            </w:pPr>
            <w:r>
              <w:rPr>
                <w:rFonts w:ascii="Calibri" w:cs="Calibri" w:eastAsia="Calibri" w:hAnsi="Calibri"/>
                <w:b/>
                <w:bCs/>
                <w:i w:val="false"/>
                <w:iCs w:val="false"/>
                <w:color w:val="1B2A4A"/>
                <w:sz w:val="21"/>
                <w:szCs w:val="21"/>
              </w:rPr>
              <w:t xml:space="preserve">2. Manufacturing Gap. </w:t>
            </w:r>
            <w:r>
              <w:rPr>
                <w:rFonts w:ascii="Calibri" w:cs="Calibri" w:eastAsia="Calibri" w:hAnsi="Calibri"/>
                <w:b w:val="false"/>
                <w:bCs w:val="false"/>
                <w:i w:val="false"/>
                <w:iCs w:val="false"/>
                <w:color w:val="2C2C2C"/>
                <w:sz w:val="21"/>
                <w:szCs w:val="21"/>
              </w:rPr>
              <w:t xml:space="preserve">Traditional investment casting imposes cost, lead time, and supply chain constraints that directly contradict DoD mass production goals.</w:t>
            </w:r>
          </w:p>
          <w:p>
            <w:pPr>
              <w:spacing w:after="40" w:before="40" w:line="280"/>
            </w:pPr>
            <w:r>
              <w:rPr>
                <w:rFonts w:ascii="Calibri" w:cs="Calibri" w:eastAsia="Calibri" w:hAnsi="Calibri"/>
                <w:b/>
                <w:bCs/>
                <w:i w:val="false"/>
                <w:iCs w:val="false"/>
                <w:color w:val="1B2A4A"/>
                <w:sz w:val="21"/>
                <w:szCs w:val="21"/>
              </w:rPr>
              <w:t xml:space="preserve">3. Digital Casting Solution. </w:t>
            </w:r>
            <w:r>
              <w:rPr>
                <w:rFonts w:ascii="Calibri" w:cs="Calibri" w:eastAsia="Calibri" w:hAnsi="Calibri"/>
                <w:b w:val="false"/>
                <w:bCs w:val="false"/>
                <w:i w:val="false"/>
                <w:iCs w:val="false"/>
                <w:color w:val="2C2C2C"/>
                <w:sz w:val="21"/>
                <w:szCs w:val="21"/>
              </w:rPr>
              <w:t xml:space="preserve">Advanced digital investment casting delivers a thirty to fifty percent cost reduction and compresses lead times from months to weeks, enabling high-volume, reliable microturbine production.</w:t>
            </w:r>
          </w:p>
          <w:p>
            <w:pPr>
              <w:spacing w:after="40" w:before="40" w:line="280"/>
            </w:pPr>
            <w:r>
              <w:rPr>
                <w:rFonts w:ascii="Calibri" w:cs="Calibri" w:eastAsia="Calibri" w:hAnsi="Calibri"/>
                <w:b/>
                <w:bCs/>
                <w:i w:val="false"/>
                <w:iCs w:val="false"/>
                <w:color w:val="1B2A4A"/>
                <w:sz w:val="21"/>
                <w:szCs w:val="21"/>
              </w:rPr>
              <w:t xml:space="preserve">4. Replicator Demand Signal. </w:t>
            </w:r>
            <w:r>
              <w:rPr>
                <w:rFonts w:ascii="Calibri" w:cs="Calibri" w:eastAsia="Calibri" w:hAnsi="Calibri"/>
                <w:b w:val="false"/>
                <w:bCs w:val="false"/>
                <w:i w:val="false"/>
                <w:iCs w:val="false"/>
                <w:color w:val="2C2C2C"/>
                <w:sz w:val="21"/>
                <w:szCs w:val="21"/>
              </w:rPr>
              <w:t xml:space="preserve">The Replicator initiative creates urgent, multi-year demand for low-cost microturbine propulsion at thousands of units scale. New U.S. facilities are not optional. They are a strategic necessity.</w:t>
            </w:r>
          </w:p>
        </w:tc>
      </w:tr>
    </w:tbl>
    <w:p>
      <w:pPr>
        <w:spacing w:after="200" w:before="0"/>
      </w:pPr>
      <w: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This white paper makes the case that the solution to the manufacturing gap is already proven and already operating in the United States. Digital investment casting, pioneered by DDM Systems through its LAMP™ ceramic three-dimensional printing platform and DirectPour™ end-to-end casting service, eliminates seven of the twelve process steps in conventional investment casting. It removes tooling entirely, reduces scrap by ninety percent, compresses lead times by ten times, and cuts manufacturing costs by roughly fifty percent. The Digital Foundry architecture, already deployed in partnership with GE Vernova, Oak Ridge National Laboratory, Northrop Grumman, Eaton Aerospace, and the United States Air Force at Tinker Air Force Base, provides a ready, scalable template for the dedicated attritable propulsion casting facilities that the nation now requires.</w:t>
      </w:r>
    </w:p>
    <w:p>
      <w:pPr>
        <w:spacing w:after="120" w:before="60" w:line="300"/>
        <w:jc w:val="both"/>
      </w:pPr>
      <w:r>
        <w:rPr>
          <w:rFonts w:ascii="Calibri" w:cs="Calibri" w:eastAsia="Calibri" w:hAnsi="Calibri"/>
          <w:b w:val="false"/>
          <w:bCs w:val="false"/>
          <w:i w:val="false"/>
          <w:iCs w:val="false"/>
          <w:color w:val="2C2C2C"/>
          <w:sz w:val="22"/>
          <w:szCs w:val="22"/>
        </w:rPr>
        <w:t xml:space="preserve">Without new, purpose-built domestic capacity, the Replicator initiative will fail to achieve its numerical overmatch objectives, and the cost exchange ratios that make attritable autonomy strategically valuable will revert to levels that favor the adversary. Investments in digital investment casting facilities are therefore not a manufacturing modernization question. It is a force design question, and the window for action is closing.</w:t>
      </w:r>
    </w:p>
    <w:p>
      <w:pPr>
        <w:spacing w:after="160" w:before="0"/>
      </w:pPr>
      <w:r>
        <w:t xml:space="preserve"/>
      </w:r>
    </w:p>
    <w:p>
      <w:pPr>
        <w:pStyle w:val="Heading3"/>
        <w:spacing w:after="100" w:before="220" w:line="300"/>
      </w:pPr>
      <w:r>
        <w:rPr>
          <w:rFonts w:ascii="Calibri" w:cs="Calibri" w:eastAsia="Calibri" w:hAnsi="Calibri"/>
          <w:b/>
          <w:bCs/>
          <w:color w:val="2E5C8A"/>
          <w:sz w:val="24"/>
          <w:szCs w:val="24"/>
        </w:rPr>
        <w:t xml:space="preserve">Headline Metrics</w:t>
      </w:r>
    </w:p>
    <w:p>
      <w:pPr>
        <w:spacing w:after="8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rPr>
          <w:cantSplit/>
        </w:trPr>
        <w:tc>
          <w:tcPr>
            <w:tcW w:type="dxa" w:w="2340"/>
            <w:tcBorders>
              <w:top w:val="single" w:color="1B2A4A" w:sz="2"/>
              <w:left w:val="single" w:color="FFFFFF" w:sz="2"/>
              <w:bottom w:val="single" w:color="1B2A4A" w:sz="2"/>
              <w:right w:val="single" w:color="FFFFFF" w:sz="2"/>
            </w:tcBorders>
            <w:shd w:fill="1B2A4A" w:val="clear"/>
            <w:tcMar>
              <w:top w:type="dxa" w:w="200"/>
              <w:left w:type="dxa" w:w="120"/>
              <w:bottom w:type="dxa" w:w="200"/>
              <w:right w:type="dxa" w:w="120"/>
            </w:tcMar>
          </w:tcPr>
          <w:p>
            <w:pPr>
              <w:spacing w:after="60" w:before="0"/>
              <w:jc w:val="center"/>
            </w:pPr>
            <w:r>
              <w:rPr>
                <w:rFonts w:ascii="Calibri" w:cs="Calibri" w:eastAsia="Calibri" w:hAnsi="Calibri"/>
                <w:b/>
                <w:bCs/>
                <w:color w:val="FFFFFF"/>
                <w:sz w:val="44"/>
                <w:szCs w:val="44"/>
              </w:rPr>
              <w:t xml:space="preserve">30 to 50%</w:t>
            </w:r>
          </w:p>
          <w:p>
            <w:pPr>
              <w:spacing w:after="0" w:before="0" w:line="260"/>
              <w:jc w:val="center"/>
            </w:pPr>
            <w:r>
              <w:rPr>
                <w:rFonts w:ascii="Calibri" w:cs="Calibri" w:eastAsia="Calibri" w:hAnsi="Calibri"/>
                <w:color w:val="D5E8F0"/>
                <w:sz w:val="18"/>
                <w:szCs w:val="18"/>
              </w:rPr>
              <w:t xml:space="preserve">Cost reduction vs. conventional casting</w:t>
            </w:r>
          </w:p>
        </w:tc>
        <w:tc>
          <w:tcPr>
            <w:tcW w:type="dxa" w:w="2340"/>
            <w:tcBorders>
              <w:top w:val="single" w:color="1B2A4A" w:sz="2"/>
              <w:left w:val="single" w:color="FFFFFF" w:sz="2"/>
              <w:bottom w:val="single" w:color="1B2A4A" w:sz="2"/>
              <w:right w:val="single" w:color="FFFFFF" w:sz="2"/>
            </w:tcBorders>
            <w:shd w:fill="1B2A4A" w:val="clear"/>
            <w:tcMar>
              <w:top w:type="dxa" w:w="200"/>
              <w:left w:type="dxa" w:w="120"/>
              <w:bottom w:type="dxa" w:w="200"/>
              <w:right w:type="dxa" w:w="120"/>
            </w:tcMar>
          </w:tcPr>
          <w:p>
            <w:pPr>
              <w:spacing w:after="60" w:before="0"/>
              <w:jc w:val="center"/>
            </w:pPr>
            <w:r>
              <w:rPr>
                <w:rFonts w:ascii="Calibri" w:cs="Calibri" w:eastAsia="Calibri" w:hAnsi="Calibri"/>
                <w:b/>
                <w:bCs/>
                <w:color w:val="FFFFFF"/>
                <w:sz w:val="44"/>
                <w:szCs w:val="44"/>
              </w:rPr>
              <w:t xml:space="preserve">10x</w:t>
            </w:r>
          </w:p>
          <w:p>
            <w:pPr>
              <w:spacing w:after="0" w:before="0" w:line="260"/>
              <w:jc w:val="center"/>
            </w:pPr>
            <w:r>
              <w:rPr>
                <w:rFonts w:ascii="Calibri" w:cs="Calibri" w:eastAsia="Calibri" w:hAnsi="Calibri"/>
                <w:color w:val="D5E8F0"/>
                <w:sz w:val="18"/>
                <w:szCs w:val="18"/>
              </w:rPr>
              <w:t xml:space="preserve">Lead time compression</w:t>
            </w:r>
          </w:p>
        </w:tc>
        <w:tc>
          <w:tcPr>
            <w:tcW w:type="dxa" w:w="2340"/>
            <w:tcBorders>
              <w:top w:val="single" w:color="1B2A4A" w:sz="2"/>
              <w:left w:val="single" w:color="FFFFFF" w:sz="2"/>
              <w:bottom w:val="single" w:color="1B2A4A" w:sz="2"/>
              <w:right w:val="single" w:color="FFFFFF" w:sz="2"/>
            </w:tcBorders>
            <w:shd w:fill="1B2A4A" w:val="clear"/>
            <w:tcMar>
              <w:top w:type="dxa" w:w="200"/>
              <w:left w:type="dxa" w:w="120"/>
              <w:bottom w:type="dxa" w:w="200"/>
              <w:right w:type="dxa" w:w="120"/>
            </w:tcMar>
          </w:tcPr>
          <w:p>
            <w:pPr>
              <w:spacing w:after="60" w:before="0"/>
              <w:jc w:val="center"/>
            </w:pPr>
            <w:r>
              <w:rPr>
                <w:rFonts w:ascii="Calibri" w:cs="Calibri" w:eastAsia="Calibri" w:hAnsi="Calibri"/>
                <w:b/>
                <w:bCs/>
                <w:color w:val="FFFFFF"/>
                <w:sz w:val="44"/>
                <w:szCs w:val="44"/>
              </w:rPr>
              <w:t xml:space="preserve">Multi-$B</w:t>
            </w:r>
          </w:p>
          <w:p>
            <w:pPr>
              <w:spacing w:after="0" w:before="0" w:line="260"/>
              <w:jc w:val="center"/>
            </w:pPr>
            <w:r>
              <w:rPr>
                <w:rFonts w:ascii="Calibri" w:cs="Calibri" w:eastAsia="Calibri" w:hAnsi="Calibri"/>
                <w:color w:val="D5E8F0"/>
                <w:sz w:val="18"/>
                <w:szCs w:val="18"/>
              </w:rPr>
              <w:t xml:space="preserve">Microturbine aerospace market by 2030</w:t>
            </w:r>
          </w:p>
        </w:tc>
        <w:tc>
          <w:tcPr>
            <w:tcW w:type="dxa" w:w="2340"/>
            <w:tcBorders>
              <w:top w:val="single" w:color="1B2A4A" w:sz="2"/>
              <w:left w:val="single" w:color="FFFFFF" w:sz="2"/>
              <w:bottom w:val="single" w:color="1B2A4A" w:sz="2"/>
              <w:right w:val="single" w:color="FFFFFF" w:sz="2"/>
            </w:tcBorders>
            <w:shd w:fill="1B2A4A" w:val="clear"/>
            <w:tcMar>
              <w:top w:type="dxa" w:w="200"/>
              <w:left w:type="dxa" w:w="120"/>
              <w:bottom w:type="dxa" w:w="200"/>
              <w:right w:type="dxa" w:w="120"/>
            </w:tcMar>
          </w:tcPr>
          <w:p>
            <w:pPr>
              <w:spacing w:after="60" w:before="0"/>
              <w:jc w:val="center"/>
            </w:pPr>
            <w:r>
              <w:rPr>
                <w:rFonts w:ascii="Calibri" w:cs="Calibri" w:eastAsia="Calibri" w:hAnsi="Calibri"/>
                <w:b/>
                <w:bCs/>
                <w:color w:val="FFFFFF"/>
                <w:sz w:val="44"/>
                <w:szCs w:val="44"/>
              </w:rPr>
              <w:t xml:space="preserve">1000s</w:t>
            </w:r>
          </w:p>
          <w:p>
            <w:pPr>
              <w:spacing w:after="0" w:before="0" w:line="260"/>
              <w:jc w:val="center"/>
            </w:pPr>
            <w:r>
              <w:rPr>
                <w:rFonts w:ascii="Calibri" w:cs="Calibri" w:eastAsia="Calibri" w:hAnsi="Calibri"/>
                <w:color w:val="D5E8F0"/>
                <w:sz w:val="18"/>
                <w:szCs w:val="18"/>
              </w:rPr>
              <w:t xml:space="preserve">Blades per month demand at scale</w:t>
            </w:r>
          </w:p>
        </w:tc>
      </w:tr>
    </w:tbl>
    <w:p>
      <w:pPr>
        <w:spacing w:after="200" w:before="0"/>
      </w:pPr>
      <w:r>
        <w:t xml:space="preserve"/>
      </w:r>
    </w:p>
    <w:p>
      <w:pPr>
        <w:pStyle w:val="Heading3"/>
        <w:spacing w:after="100" w:before="220" w:line="300"/>
      </w:pPr>
      <w:r>
        <w:rPr>
          <w:rFonts w:ascii="Calibri" w:cs="Calibri" w:eastAsia="Calibri" w:hAnsi="Calibri"/>
          <w:b/>
          <w:bCs/>
          <w:color w:val="2E5C8A"/>
          <w:sz w:val="24"/>
          <w:szCs w:val="24"/>
        </w:rPr>
        <w:t xml:space="preserve">Summary of Recommendations</w:t>
      </w:r>
    </w:p>
    <w:p>
      <w:pPr>
        <w:spacing w:after="120" w:before="60" w:line="300"/>
        <w:jc w:val="both"/>
      </w:pPr>
      <w:r>
        <w:rPr>
          <w:rFonts w:ascii="Calibri" w:cs="Calibri" w:eastAsia="Calibri" w:hAnsi="Calibri"/>
          <w:b w:val="false"/>
          <w:bCs w:val="false"/>
          <w:i w:val="false"/>
          <w:iCs w:val="false"/>
          <w:color w:val="2C2C2C"/>
          <w:sz w:val="22"/>
          <w:szCs w:val="22"/>
        </w:rPr>
        <w:t xml:space="preserve">This paper concludes with five concrete recommendations for DoW program offices, the Defense Innovation Unit (DIU), engine OEMs, prime integrators, and private capital partners. In brief, these are:</w:t>
      </w:r>
    </w:p>
    <w:p>
      <w:pPr>
        <w:pStyle w:val="ListParagraph"/>
        <w:numPr>
          <w:ilvl w:val="0"/>
          <w:numId w:val="2"/>
        </w:numPr>
        <w:spacing w:after="40" w:before="40" w:line="280"/>
      </w:pPr>
      <w:r>
        <w:rPr>
          <w:rFonts w:ascii="Calibri" w:cs="Calibri" w:eastAsia="Calibri" w:hAnsi="Calibri"/>
          <w:color w:val="2C2C2C"/>
          <w:sz w:val="22"/>
          <w:szCs w:val="22"/>
        </w:rPr>
        <w:t xml:space="preserve">Establish two to three dedicated digital investment casting facilities in U.S. aerospace and defense industrial corridors, sized for thousands of MAR-M247 blades per month.</w:t>
      </w:r>
    </w:p>
    <w:p>
      <w:pPr>
        <w:pStyle w:val="ListParagraph"/>
        <w:numPr>
          <w:ilvl w:val="0"/>
          <w:numId w:val="2"/>
        </w:numPr>
        <w:spacing w:after="40" w:before="40" w:line="280"/>
      </w:pPr>
      <w:r>
        <w:rPr>
          <w:rFonts w:ascii="Calibri" w:cs="Calibri" w:eastAsia="Calibri" w:hAnsi="Calibri"/>
          <w:color w:val="2C2C2C"/>
          <w:sz w:val="22"/>
          <w:szCs w:val="22"/>
        </w:rPr>
        <w:t xml:space="preserve">Obligate Replicator authority funding in late fiscal year 2026 or fiscal year 2027 to underwrite facility design, site selection, and initial equipment procurement, with a blended public and private financing model.</w:t>
      </w:r>
    </w:p>
    <w:p>
      <w:pPr>
        <w:pStyle w:val="ListParagraph"/>
        <w:numPr>
          <w:ilvl w:val="0"/>
          <w:numId w:val="2"/>
        </w:numPr>
        <w:spacing w:after="40" w:before="40" w:line="280"/>
      </w:pPr>
      <w:r>
        <w:rPr>
          <w:rFonts w:ascii="Calibri" w:cs="Calibri" w:eastAsia="Calibri" w:hAnsi="Calibri"/>
          <w:color w:val="2C2C2C"/>
          <w:sz w:val="22"/>
          <w:szCs w:val="22"/>
        </w:rPr>
        <w:t xml:space="preserve">Adopt attritable qualification pathways that exploit digital process control to accelerate first article certification without compromising flight safety.</w:t>
      </w:r>
    </w:p>
    <w:p>
      <w:pPr>
        <w:pStyle w:val="ListParagraph"/>
        <w:numPr>
          <w:ilvl w:val="0"/>
          <w:numId w:val="2"/>
        </w:numPr>
        <w:spacing w:after="40" w:before="40" w:line="280"/>
      </w:pPr>
      <w:r>
        <w:rPr>
          <w:rFonts w:ascii="Calibri" w:cs="Calibri" w:eastAsia="Calibri" w:hAnsi="Calibri"/>
          <w:color w:val="2C2C2C"/>
          <w:sz w:val="22"/>
          <w:szCs w:val="22"/>
        </w:rPr>
        <w:t xml:space="preserve">Integrate the new facilities into existing engine OEM supply chains through partnership agreements with manufacturers such as PBS Aerospace, UAV Turbines, Anduril, Kratos, and the primes that supply Replicator platforms.</w:t>
      </w:r>
    </w:p>
    <w:p>
      <w:pPr>
        <w:pStyle w:val="ListParagraph"/>
        <w:numPr>
          <w:ilvl w:val="0"/>
          <w:numId w:val="2"/>
        </w:numPr>
        <w:spacing w:after="40" w:before="40" w:line="280"/>
      </w:pPr>
      <w:r>
        <w:rPr>
          <w:rFonts w:ascii="Calibri" w:cs="Calibri" w:eastAsia="Calibri" w:hAnsi="Calibri"/>
          <w:color w:val="2C2C2C"/>
          <w:sz w:val="22"/>
          <w:szCs w:val="22"/>
        </w:rPr>
        <w:t xml:space="preserve">Pair the facility build with expansion of the domestic ceramic shell material supply chain to eliminate the current single point of failure in U.S. superalloy casting.</w:t>
      </w:r>
    </w:p>
    <w:p>
      <w:pPr>
        <w:pageBreakBefore/>
        <w:spacing w:after="60" w:before="200"/>
      </w:pPr>
      <w:r>
        <w:rPr>
          <w:rFonts w:ascii="Calibri" w:cs="Calibri" w:eastAsia="Calibri" w:hAnsi="Calibri"/>
          <w:b/>
          <w:bCs/>
          <w:color w:val="2E5C8A"/>
          <w:sz w:val="18"/>
          <w:szCs w:val="18"/>
        </w:rPr>
        <w:t xml:space="preserve">SECTION 1</w:t>
      </w:r>
    </w:p>
    <w:p>
      <w:pPr>
        <w:pStyle w:val="Heading1"/>
        <w:spacing w:after="200" w:before="400" w:line="300"/>
      </w:pPr>
      <w:r>
        <w:rPr>
          <w:rFonts w:ascii="Calibri" w:cs="Calibri" w:eastAsia="Calibri" w:hAnsi="Calibri"/>
          <w:b/>
          <w:bCs/>
          <w:color w:val="1B2A4A"/>
          <w:sz w:val="36"/>
          <w:szCs w:val="36"/>
        </w:rPr>
        <w:t xml:space="preserve">The Strategic Context</w:t>
      </w:r>
    </w:p>
    <w:p>
      <w:pPr>
        <w:pBdr>
          <w:bottom w:val="single" w:color="2E5C8A" w:sz="12" w:space="1"/>
        </w:pBdr>
        <w:spacing w:after="80" w:before="80"/>
      </w:pPr>
      <w:r>
        <w:rPr>
          <w:rFonts w:ascii="Calibri" w:cs="Calibri" w:eastAsia="Calibri" w:hAnsi="Calibri"/>
          <w:sz w:val="2"/>
          <w:szCs w:val="2"/>
        </w:rPr>
        <w:t xml:space="preserve"/>
      </w:r>
    </w:p>
    <w:p>
      <w:pPr>
        <w:pStyle w:val="Heading2"/>
        <w:spacing w:after="140" w:before="300" w:line="300"/>
      </w:pPr>
      <w:r>
        <w:rPr>
          <w:rFonts w:ascii="Calibri" w:cs="Calibri" w:eastAsia="Calibri" w:hAnsi="Calibri"/>
          <w:b/>
          <w:bCs/>
          <w:color w:val="1B2A4A"/>
          <w:sz w:val="28"/>
          <w:szCs w:val="28"/>
        </w:rPr>
        <w:t xml:space="preserve">1.1 From Exquisite to Attritable</w:t>
      </w:r>
    </w:p>
    <w:p>
      <w:pPr>
        <w:spacing w:after="120" w:before="60" w:line="300"/>
        <w:jc w:val="both"/>
      </w:pPr>
      <w:r>
        <w:rPr>
          <w:rFonts w:ascii="Calibri" w:cs="Calibri" w:eastAsia="Calibri" w:hAnsi="Calibri"/>
          <w:b w:val="false"/>
          <w:bCs w:val="false"/>
          <w:i w:val="false"/>
          <w:iCs w:val="false"/>
          <w:color w:val="2C2C2C"/>
          <w:sz w:val="22"/>
          <w:szCs w:val="22"/>
        </w:rPr>
        <w:t xml:space="preserve">For six decades, U.S. defense acquisition has been defined by a pursuit of exquisite capability. Platforms were designed to survive, to deliver unrivaled sensor fidelity, and to carry flagship weapons. Each unit carried enormous investment, and each loss carried an enormous cost. The resulting force was technologically dominant but structurally small, logistically complex, and economically incompatible with high-attrition environments.</w:t>
      </w:r>
    </w:p>
    <w:p>
      <w:pPr>
        <w:spacing w:after="120" w:before="60" w:line="300"/>
        <w:jc w:val="both"/>
      </w:pPr>
      <w:r>
        <w:rPr>
          <w:rFonts w:ascii="Calibri" w:cs="Calibri" w:eastAsia="Calibri" w:hAnsi="Calibri"/>
          <w:b w:val="false"/>
          <w:bCs w:val="false"/>
          <w:i w:val="false"/>
          <w:iCs w:val="false"/>
          <w:color w:val="2C2C2C"/>
          <w:sz w:val="22"/>
          <w:szCs w:val="22"/>
        </w:rPr>
        <w:t xml:space="preserve">The war in Ukraine, the campaigns against Houthi threats in the Red Sea, and observations of People's Liberation Army exercises have together forced a reassessment. An adversary that can credibly threaten mass, at low-cost per shot, inverts the calculus of exquisite deterrence. A modern force must field systems that are, in the language of the Replicator mandate, small, smart, cheap, and numerous.</w:t>
      </w:r>
    </w:p>
    <w:p>
      <w:pPr>
        <w:spacing w:after="120" w:before="60" w:line="300"/>
        <w:jc w:val="both"/>
      </w:pPr>
      <w:r>
        <w:rPr>
          <w:rFonts w:ascii="Calibri" w:cs="Calibri" w:eastAsia="Calibri" w:hAnsi="Calibri"/>
          <w:b w:val="false"/>
          <w:bCs w:val="false"/>
          <w:i w:val="false"/>
          <w:iCs w:val="false"/>
          <w:color w:val="2C2C2C"/>
          <w:sz w:val="22"/>
          <w:szCs w:val="22"/>
        </w:rPr>
        <w:t xml:space="preserve">Attritable autonomy is the doctrinal response. Unmanned platforms designed for mission completion rather than perfect survivability. Loss tolerant economics that support numerical overmatch. Open architectures that accept software and payload updates faster than adversaries can adapt. And, underpinning all of it, a manufacturing base that can sustain tens of thousands of units per year in steady state and surge to multiples of that in crisis.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B2A4A" w:sz="4"/>
              <w:left w:val="single" w:color="1B2A4A" w:sz="24"/>
              <w:bottom w:val="single" w:color="1B2A4A" w:sz="4"/>
              <w:right w:val="single" w:color="1B2A4A" w:sz="4"/>
            </w:tcBorders>
            <w:shd w:fill="D5E8F0" w:val="clear"/>
            <w:tcMar>
              <w:top w:type="dxa" w:w="180"/>
              <w:left w:type="dxa" w:w="240"/>
              <w:bottom w:type="dxa" w:w="180"/>
              <w:right w:type="dxa" w:w="240"/>
            </w:tcMar>
          </w:tcPr>
          <w:p>
            <w:pPr>
              <w:spacing w:after="80" w:before="80"/>
            </w:pPr>
            <w:r>
              <w:rPr>
                <w:rFonts w:ascii="Calibri" w:cs="Calibri" w:eastAsia="Calibri" w:hAnsi="Calibri"/>
                <w:b/>
                <w:bCs/>
                <w:color w:val="1B2A4A"/>
                <w:sz w:val="22"/>
                <w:szCs w:val="22"/>
              </w:rPr>
              <w:t xml:space="preserve">A Doctrinal Shift</w:t>
            </w:r>
          </w:p>
          <w:p>
            <w:pPr>
              <w:spacing w:after="40" w:before="40" w:line="280"/>
            </w:pPr>
            <w:r>
              <w:rPr>
                <w:rFonts w:ascii="Calibri" w:cs="Calibri" w:eastAsia="Calibri" w:hAnsi="Calibri"/>
                <w:color w:val="2C2C2C"/>
                <w:sz w:val="21"/>
                <w:szCs w:val="21"/>
              </w:rPr>
              <w:t xml:space="preserve">The attritable autonomy paradigm treats individual platforms as expendable but treats the aggregate swarm as a strategic capability. This is only possible when unit economics, production throughput, and logistics tails support true mass. Propulsion is the single largest cost driver in a turbine-powered attritable drone and the single longest lead item in a nickel superalloy engine. It is therefore the binding constraint on the entire doctrine.</w:t>
            </w:r>
          </w:p>
        </w:tc>
      </w:tr>
    </w:tbl>
    <w:p>
      <w:pPr>
        <w:pStyle w:val="Heading2"/>
        <w:spacing w:after="140" w:before="300" w:line="300"/>
      </w:pPr>
      <w:r>
        <w:rPr>
          <w:rFonts w:ascii="Calibri" w:cs="Calibri" w:eastAsia="Calibri" w:hAnsi="Calibri"/>
          <w:b/>
          <w:bCs/>
          <w:color w:val="1B2A4A"/>
          <w:sz w:val="28"/>
          <w:szCs w:val="28"/>
        </w:rPr>
        <w:t xml:space="preserve">1.2 The Propulsion Problem Statement</w:t>
      </w:r>
    </w:p>
    <w:p>
      <w:pPr>
        <w:spacing w:after="120" w:before="60" w:line="300"/>
        <w:jc w:val="both"/>
      </w:pPr>
      <w:r>
        <w:rPr>
          <w:rFonts w:ascii="Calibri" w:cs="Calibri" w:eastAsia="Calibri" w:hAnsi="Calibri"/>
          <w:b w:val="false"/>
          <w:bCs w:val="false"/>
          <w:i w:val="false"/>
          <w:iCs w:val="false"/>
          <w:color w:val="2C2C2C"/>
          <w:sz w:val="22"/>
          <w:szCs w:val="22"/>
        </w:rPr>
        <w:t xml:space="preserve">Attritable turbine-powered drones require microturbine engines that deliver three to five kilonewtons of thrust, operate reliably on heavy fuels such as JP-8 and Jet-A, sustain hot section temperatures above one thousand degrees Celsius, and cost a small fraction of the analogous engine in a manned aircraft. The largest single cost element in a modern microturbine is the hot section, and the largest single cost and lead time element in the hot section is the cast nickel superalloy airfoil.</w:t>
      </w:r>
    </w:p>
    <w:p>
      <w:pPr>
        <w:spacing w:after="120" w:before="60" w:line="300"/>
        <w:jc w:val="both"/>
      </w:pPr>
      <w:r>
        <w:rPr>
          <w:rFonts w:ascii="Calibri" w:cs="Calibri" w:eastAsia="Calibri" w:hAnsi="Calibri"/>
          <w:b w:val="false"/>
          <w:bCs w:val="false"/>
          <w:i w:val="false"/>
          <w:iCs w:val="false"/>
          <w:color w:val="2C2C2C"/>
          <w:sz w:val="22"/>
          <w:szCs w:val="22"/>
        </w:rPr>
        <w:t xml:space="preserve">Nickel superalloy airfoils are not commodity castings. They are complex, thin wall, hollow components with internal cooling passages that require precise core positioning, vacuum induction melting, equiaxed or directional solidification or single-crystal growth, hot isostatic pressing, heat treatment, and multiple rounds of nondestructive inspection. The U.S. foundries that can produce such parts are a short list and are already fully loaded with commercial and defense aerospace production.</w:t>
      </w:r>
    </w:p>
    <w:p>
      <w:pPr>
        <w:spacing w:after="120" w:before="60" w:line="300"/>
        <w:jc w:val="both"/>
      </w:pPr>
      <w:r>
        <w:rPr>
          <w:rFonts w:ascii="Calibri" w:cs="Calibri" w:eastAsia="Calibri" w:hAnsi="Calibri"/>
          <w:b w:val="false"/>
          <w:bCs w:val="false"/>
          <w:i w:val="false"/>
          <w:iCs w:val="false"/>
          <w:color w:val="2C2C2C"/>
          <w:sz w:val="22"/>
          <w:szCs w:val="22"/>
        </w:rPr>
        <w:t xml:space="preserve">A Replicator volume demand of tens of thousands of blades per month therefore collides with a base that currently produces orders of magnitude fewer. The gap is not a matter of shift optimization or capital expansion at existing suppliers. It is a structural gap that will only be closed by a different manufacturing approach executed at purpose-built facilities.</w:t>
      </w:r>
    </w:p>
    <w:p>
      <w:pPr>
        <w:pStyle w:val="Heading2"/>
        <w:spacing w:after="140" w:before="300" w:line="300"/>
      </w:pPr>
      <w:r>
        <w:rPr>
          <w:rFonts w:ascii="Calibri" w:cs="Calibri" w:eastAsia="Calibri" w:hAnsi="Calibri"/>
          <w:b/>
          <w:bCs/>
          <w:color w:val="1B2A4A"/>
          <w:sz w:val="28"/>
          <w:szCs w:val="28"/>
        </w:rPr>
        <w:t xml:space="preserve">1.3 Why This Question Is Time Sensitive</w:t>
      </w:r>
    </w:p>
    <w:p>
      <w:pPr>
        <w:spacing w:after="120" w:before="60" w:line="300"/>
        <w:jc w:val="both"/>
      </w:pPr>
      <w:r>
        <w:rPr>
          <w:rFonts w:ascii="Calibri" w:cs="Calibri" w:eastAsia="Calibri" w:hAnsi="Calibri"/>
          <w:b w:val="false"/>
          <w:bCs w:val="false"/>
          <w:i w:val="false"/>
          <w:iCs w:val="false"/>
          <w:color w:val="2C2C2C"/>
          <w:sz w:val="22"/>
          <w:szCs w:val="22"/>
        </w:rPr>
        <w:t xml:space="preserve">Two trend lines are converging. The first is demand. The Replicator program has obligated substantial funding across fiscal years 2024 and 2025, and continuation funding is confirmed for fiscal year 2026. Replicator 2 extends the demand signal into counter small unmanned aircraft systems (UAS) through at least fiscal year 2028, and the consolidation of counter small UAS authorities under Joint Interagency Task Force 401 in August 2025 has accelerated contracting timelines. Demand is becoming concrete and multiyear.</w:t>
      </w:r>
    </w:p>
    <w:p>
      <w:pPr>
        <w:spacing w:after="120" w:before="60" w:line="300"/>
        <w:jc w:val="both"/>
      </w:pPr>
      <w:r>
        <w:rPr>
          <w:rFonts w:ascii="Calibri" w:cs="Calibri" w:eastAsia="Calibri" w:hAnsi="Calibri"/>
          <w:b w:val="false"/>
          <w:bCs w:val="false"/>
          <w:i w:val="false"/>
          <w:iCs w:val="false"/>
          <w:color w:val="2C2C2C"/>
          <w:sz w:val="22"/>
          <w:szCs w:val="22"/>
        </w:rPr>
        <w:t xml:space="preserve">The second is supply. The U.S. nickel superalloy casting base is concentrated, aging, and capacity constrained. Several announced commercial aviation programs, hypersonic vehicle programs, and hot section repair programs are pulling on the same foundry floor. Without new capacity, the effective delivered cost of attritable microturbines will rise rather than fall as the program scales, and the cost exchange ratio that justifies attritable autonomy will erode.</w:t>
      </w:r>
    </w:p>
    <w:p>
      <w:pPr>
        <w:spacing w:after="120" w:before="60" w:line="300"/>
        <w:jc w:val="both"/>
      </w:pPr>
      <w:r>
        <w:rPr>
          <w:rFonts w:ascii="Calibri" w:cs="Calibri" w:eastAsia="Calibri" w:hAnsi="Calibri"/>
          <w:b w:val="false"/>
          <w:bCs w:val="false"/>
          <w:i w:val="false"/>
          <w:iCs w:val="false"/>
          <w:color w:val="2C2C2C"/>
          <w:sz w:val="22"/>
          <w:szCs w:val="22"/>
        </w:rPr>
        <w:t xml:space="preserve">The window for a credible industrial response is measured in two to three years. A facility obligated by fiscal year 2027 and constructed through 2028 can reach initial operational capability in 2029 and full rate in 2030. Delay the investment by another year, and the first operational deliveries slip to 2030 at best, past the timeframe in which Replicator momentum is most critical.</w:t>
      </w:r>
    </w:p>
    <w:p>
      <w:pPr>
        <w:spacing w:after="160" w:before="0"/>
      </w:pPr>
      <w:r>
        <w:t xml:space="preserve"/>
      </w:r>
    </w:p>
    <w:p>
      <w:pPr>
        <w:pStyle w:val="Heading2"/>
        <w:spacing w:after="140" w:before="300" w:line="300"/>
      </w:pPr>
      <w:r>
        <w:rPr>
          <w:rFonts w:ascii="Calibri" w:cs="Calibri" w:eastAsia="Calibri" w:hAnsi="Calibri"/>
          <w:b/>
          <w:bCs/>
          <w:color w:val="1B2A4A"/>
          <w:sz w:val="28"/>
          <w:szCs w:val="28"/>
        </w:rPr>
        <w:t xml:space="preserve">1.4 Why This Paper Is Authored by DDM Systems</w:t>
      </w:r>
    </w:p>
    <w:p>
      <w:pPr>
        <w:spacing w:after="120" w:before="60" w:line="300"/>
        <w:jc w:val="both"/>
      </w:pPr>
      <w:r>
        <w:rPr>
          <w:rFonts w:ascii="Calibri" w:cs="Calibri" w:eastAsia="Calibri" w:hAnsi="Calibri"/>
          <w:b w:val="false"/>
          <w:bCs w:val="false"/>
          <w:i w:val="false"/>
          <w:iCs w:val="false"/>
          <w:color w:val="2C2C2C"/>
          <w:sz w:val="22"/>
          <w:szCs w:val="22"/>
        </w:rPr>
        <w:t xml:space="preserve">DDM Systems has spent nearly two decades building the digital investment casting capability that this paper argues the nation now requires. The core technology, LAMP™, or Large Area Maskless Photopolymerization, originated in 2006 under a DARPA Disruptive Manufacturing Technologies solicitation. It was developed at Georgia Tech by Dr. Suman Das, commercialized through DDM Systems starting in 2012, validated through a ten-year collaboration with GE and GE Vernova on gas turbine castings, and extended into flight hardware through active programs with the United States Air Force, Northrop Grumman, and Eaton Aerospace.</w:t>
      </w:r>
    </w:p>
    <w:p>
      <w:pPr>
        <w:spacing w:after="120" w:before="60" w:line="300"/>
        <w:jc w:val="both"/>
      </w:pPr>
      <w:r>
        <w:rPr>
          <w:rFonts w:ascii="Calibri" w:cs="Calibri" w:eastAsia="Calibri" w:hAnsi="Calibri"/>
          <w:b w:val="false"/>
          <w:bCs w:val="false"/>
          <w:i w:val="false"/>
          <w:iCs w:val="false"/>
          <w:color w:val="2C2C2C"/>
          <w:sz w:val="22"/>
          <w:szCs w:val="22"/>
        </w:rPr>
        <w:t xml:space="preserve">DDM Systems does not argue for a category of manufacturing that does not yet exist. It argues for the scaled industrial deployment of a manufacturing category that the company has already proven in production, and for which the company already operates reference Digital Foundry installations. The purpose of this paper is to connect that operational reality to the national security problem that the Replicator initiative has surfaced.</w:t>
      </w:r>
    </w:p>
    <w:p>
      <w:pPr>
        <w:pageBreakBefore/>
        <w:spacing w:after="60" w:before="200"/>
      </w:pPr>
      <w:r>
        <w:rPr>
          <w:rFonts w:ascii="Calibri" w:cs="Calibri" w:eastAsia="Calibri" w:hAnsi="Calibri"/>
          <w:b/>
          <w:bCs/>
          <w:color w:val="2E5C8A"/>
          <w:sz w:val="18"/>
          <w:szCs w:val="18"/>
        </w:rPr>
        <w:t xml:space="preserve">SECTION 2</w:t>
      </w:r>
    </w:p>
    <w:p>
      <w:pPr>
        <w:pStyle w:val="Heading1"/>
        <w:spacing w:after="200" w:before="400" w:line="300"/>
      </w:pPr>
      <w:r>
        <w:rPr>
          <w:rFonts w:ascii="Calibri" w:cs="Calibri" w:eastAsia="Calibri" w:hAnsi="Calibri"/>
          <w:b/>
          <w:bCs/>
          <w:color w:val="1B2A4A"/>
          <w:sz w:val="36"/>
          <w:szCs w:val="36"/>
        </w:rPr>
        <w:t xml:space="preserve">State-of-the-Art Turbine Engines in Unmanned Systems</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The microturbine propulsion market for unmanned systems has matured rapidly over the past five years. Engines that were once bespoke research items built for experimental platforms are now commercial off-the-shelf items available from multiple qualified suppliers. Market research firms project the global microturbine aerospace market will reach a multi-billion scale by 2030, with defense demand representing the dominant segment by revenue.</w:t>
      </w:r>
    </w:p>
    <w:p>
      <w:pPr>
        <w:spacing w:after="120" w:before="60" w:line="300"/>
        <w:jc w:val="both"/>
      </w:pPr>
      <w:r>
        <w:rPr>
          <w:rFonts w:ascii="Calibri" w:cs="Calibri" w:eastAsia="Calibri" w:hAnsi="Calibri"/>
          <w:b w:val="false"/>
          <w:bCs w:val="false"/>
          <w:i w:val="false"/>
          <w:iCs w:val="false"/>
          <w:color w:val="2C2C2C"/>
          <w:sz w:val="22"/>
          <w:szCs w:val="22"/>
        </w:rPr>
        <w:t xml:space="preserve">This section surveys the operational envelope, design philosophy, and fuel and launch characteristics that define state-of-the-art drone turbine propulsion, because these characteristics set the performance specifications that cast airfoil production must meet.</w:t>
      </w:r>
    </w:p>
    <w:p>
      <w:pPr>
        <w:pStyle w:val="Heading2"/>
        <w:spacing w:after="140" w:before="300" w:line="300"/>
      </w:pPr>
      <w:r>
        <w:rPr>
          <w:rFonts w:ascii="Calibri" w:cs="Calibri" w:eastAsia="Calibri" w:hAnsi="Calibri"/>
          <w:b/>
          <w:bCs/>
          <w:color w:val="1B2A4A"/>
          <w:sz w:val="28"/>
          <w:szCs w:val="28"/>
        </w:rPr>
        <w:t xml:space="preserve">2.1 Microturbine Classes</w:t>
      </w:r>
    </w:p>
    <w:p>
      <w:pPr>
        <w:spacing w:after="120" w:before="60" w:line="300"/>
        <w:jc w:val="both"/>
      </w:pPr>
      <w:r>
        <w:rPr>
          <w:rFonts w:ascii="Calibri" w:cs="Calibri" w:eastAsia="Calibri" w:hAnsi="Calibri"/>
          <w:b w:val="false"/>
          <w:bCs w:val="false"/>
          <w:i w:val="false"/>
          <w:iCs w:val="false"/>
          <w:color w:val="2C2C2C"/>
          <w:sz w:val="22"/>
          <w:szCs w:val="22"/>
        </w:rPr>
        <w:t xml:space="preserve">Microturbines for unmanned systems fall into three broad architectures. Turbojets offer the highest thrust-to-weight ratio for a given engine size and are typically chosen for expendable cruise missiles, loitering munitions, and high-speed interceptors. Turboprops offer better fuel efficiency at lower cruise speeds and are favored for long-endurance intelligence, surveillance, and reconnaissance platforms. Hybrid electric turbine designs, which pair a small turbine generator with electric motors for propulsion, are an emerging category that extends mission range and enables vertical takeoff and landing configurations that pure turbine architectures struggle to achieve.</w:t>
      </w:r>
    </w:p>
    <w:p>
      <w:pPr>
        <w:spacing w:after="120" w:before="60" w:line="300"/>
        <w:jc w:val="both"/>
      </w:pPr>
      <w:r>
        <w:rPr>
          <w:rFonts w:ascii="Calibri" w:cs="Calibri" w:eastAsia="Calibri" w:hAnsi="Calibri"/>
          <w:b w:val="false"/>
          <w:bCs w:val="false"/>
          <w:i w:val="false"/>
          <w:iCs w:val="false"/>
          <w:color w:val="2C2C2C"/>
          <w:sz w:val="22"/>
          <w:szCs w:val="22"/>
        </w:rPr>
        <w:t xml:space="preserve">Across all three architectures, the hot-section airfoil set is the defining performance and cost driver. Turbine inlet temperature, blade cooling sophistication, and creep life at operating temperature determine engine thrust, fuel consumption, and time on wing. These properties are governed by the alloy, the casting process, and the post-processing regime applied to the blade.</w:t>
      </w:r>
    </w:p>
    <w:p>
      <w:pPr>
        <w:pStyle w:val="Heading2"/>
        <w:spacing w:after="140" w:before="300" w:line="300"/>
      </w:pPr>
      <w:r>
        <w:rPr>
          <w:rFonts w:ascii="Calibri" w:cs="Calibri" w:eastAsia="Calibri" w:hAnsi="Calibri"/>
          <w:b/>
          <w:bCs/>
          <w:color w:val="1B2A4A"/>
          <w:sz w:val="28"/>
          <w:szCs w:val="28"/>
        </w:rPr>
        <w:t xml:space="preserve">2.2 Reference Platforms</w:t>
      </w:r>
    </w:p>
    <w:p>
      <w:pPr>
        <w:spacing w:after="120" w:before="60" w:line="300"/>
        <w:jc w:val="both"/>
      </w:pPr>
      <w:r>
        <w:rPr>
          <w:rFonts w:ascii="Calibri" w:cs="Calibri" w:eastAsia="Calibri" w:hAnsi="Calibri"/>
          <w:b w:val="false"/>
          <w:bCs w:val="false"/>
          <w:i w:val="false"/>
          <w:iCs w:val="false"/>
          <w:color w:val="2C2C2C"/>
          <w:sz w:val="22"/>
          <w:szCs w:val="22"/>
        </w:rPr>
        <w:t xml:space="preserve">Two engines that are widely referenced as representative of the current state-of-the-art in attritable microturbine propulsion are the UAV Turbines Monarch family and the PBS Aerospace TJ100. Both demonstrate the operational envelope that DoD attritable program offices are specifying, and both provide useful benchmarks for the propulsion industrial base this paper addresses.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cantSplit/>
          <w:tblHeader/>
        </w:trPr>
        <w:tc>
          <w:tcPr>
            <w:tcW w:type="dxa" w:w="312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Specification</w:t>
            </w:r>
          </w:p>
        </w:tc>
        <w:tc>
          <w:tcPr>
            <w:tcW w:type="dxa" w:w="312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UAV Turbines Monarch Family</w:t>
            </w:r>
          </w:p>
        </w:tc>
        <w:tc>
          <w:tcPr>
            <w:tcW w:type="dxa" w:w="312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PBS Aerospace TJ100</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Thrust class</w:t>
            </w:r>
          </w:p>
        </w:tc>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Turboprop 50 to 75 kW shaft</w:t>
            </w:r>
          </w:p>
        </w:tc>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Turbojet 1.3 kN</w:t>
            </w:r>
          </w:p>
        </w:tc>
      </w:tr>
      <w:tr>
        <w:trPr>
          <w:cantSplit/>
        </w:trPr>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Fuel</w:t>
            </w:r>
          </w:p>
        </w:tc>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JP-8, Jet-A, diesel</w:t>
            </w:r>
          </w:p>
        </w:tc>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JP-8, Jet-A</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Typical application</w:t>
            </w:r>
          </w:p>
        </w:tc>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Group 3 to Group 4 ISR UAS</w:t>
            </w:r>
          </w:p>
        </w:tc>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Target drones, missile propulsion</w:t>
            </w:r>
          </w:p>
        </w:tc>
      </w:tr>
      <w:tr>
        <w:trPr>
          <w:cantSplit/>
        </w:trPr>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Design life</w:t>
            </w:r>
          </w:p>
        </w:tc>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Extended service with MRO</w:t>
            </w:r>
          </w:p>
        </w:tc>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Short life attritable</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Hot section alloy</w:t>
            </w:r>
          </w:p>
        </w:tc>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Nickel superalloy blades</w:t>
            </w:r>
          </w:p>
        </w:tc>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Nickel superalloy blades</w:t>
            </w:r>
          </w:p>
        </w:tc>
      </w:tr>
      <w:tr>
        <w:trPr>
          <w:cantSplit/>
        </w:trPr>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Launch mode</w:t>
            </w:r>
          </w:p>
        </w:tc>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Runway, VTOL variants</w:t>
            </w:r>
          </w:p>
        </w:tc>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Runway, tube, air launch</w:t>
            </w:r>
          </w:p>
        </w:tc>
      </w:tr>
    </w:tbl>
    <w:p>
      <w:pPr>
        <w:spacing w:after="200" w:before="0"/>
      </w:pPr>
      <w: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Other engines that are relevant to the Replicator propulsion discussion include the Kratos Turbine Technologies family that powers several target drones and attritable platforms, the Williams International F107 derivatives used in standoff weapons, and a growing list of Chinese, Turkish, and European designs that have entered the defense export market. In every case, the hot section relies on cast nickel superalloy airfoils.</w:t>
      </w:r>
    </w:p>
    <w:p>
      <w:pPr>
        <w:pStyle w:val="Heading2"/>
        <w:spacing w:after="140" w:before="300" w:line="300"/>
      </w:pPr>
      <w:r>
        <w:rPr>
          <w:rFonts w:ascii="Calibri" w:cs="Calibri" w:eastAsia="Calibri" w:hAnsi="Calibri"/>
          <w:b/>
          <w:bCs/>
          <w:color w:val="1B2A4A"/>
          <w:sz w:val="28"/>
          <w:szCs w:val="28"/>
        </w:rPr>
        <w:t xml:space="preserve">2.3 Attritable Design Philosophy</w:t>
      </w:r>
    </w:p>
    <w:p>
      <w:pPr>
        <w:spacing w:after="120" w:before="60" w:line="300"/>
        <w:jc w:val="both"/>
      </w:pPr>
      <w:r>
        <w:rPr>
          <w:rFonts w:ascii="Calibri" w:cs="Calibri" w:eastAsia="Calibri" w:hAnsi="Calibri"/>
          <w:b w:val="false"/>
          <w:bCs w:val="false"/>
          <w:i w:val="false"/>
          <w:iCs w:val="false"/>
          <w:color w:val="2C2C2C"/>
          <w:sz w:val="22"/>
          <w:szCs w:val="22"/>
        </w:rPr>
        <w:t xml:space="preserve">Attritable engines are designed around a fundamentally different set of trade spaces than manned aviation engines. The design hours per engine are lower. The qualification burden is reduced. The tolerance for unit-to-unit variability is wider, provided mission completion probability meets specification. The service life requirement is shorter, typically measured in tens of hours rather than thousands. And the cost target is a fraction of an analogous engine for a manned platform.</w:t>
      </w:r>
    </w:p>
    <w:p>
      <w:pPr>
        <w:spacing w:after="120" w:before="60" w:line="300"/>
        <w:jc w:val="both"/>
      </w:pPr>
      <w:r>
        <w:rPr>
          <w:rFonts w:ascii="Calibri" w:cs="Calibri" w:eastAsia="Calibri" w:hAnsi="Calibri"/>
          <w:b w:val="false"/>
          <w:bCs w:val="false"/>
          <w:i w:val="false"/>
          <w:iCs w:val="false"/>
          <w:color w:val="2C2C2C"/>
          <w:sz w:val="22"/>
          <w:szCs w:val="22"/>
        </w:rPr>
        <w:t xml:space="preserve">This philosophy is not a relaxation of engineering rigor. It is a reallocation of engineering effort. Hot section reliability must still be high enough that engine failure is rare during the expected mission. Statistical process control must still guarantee that out-of-specification blades do not reach flight. But the certification basis and the qualification data package can be streamlined, provided digital process control captures the statistical evidence necessary to justify that streamlining.</w:t>
      </w:r>
    </w:p>
    <w:p>
      <w:pPr>
        <w:spacing w:after="120" w:before="60" w:line="300"/>
        <w:jc w:val="both"/>
      </w:pPr>
      <w:r>
        <w:rPr>
          <w:rFonts w:ascii="Calibri" w:cs="Calibri" w:eastAsia="Calibri" w:hAnsi="Calibri"/>
          <w:b w:val="false"/>
          <w:bCs w:val="false"/>
          <w:i w:val="false"/>
          <w:iCs w:val="false"/>
          <w:color w:val="2C2C2C"/>
          <w:sz w:val="22"/>
          <w:szCs w:val="22"/>
        </w:rPr>
        <w:t xml:space="preserve">Digital investment casting is uniquely well suited to this philosophy. Every blade carries a digital birth certificate that records the slurry batch, the build parameters, the firing profile, the pour, the heat treatment, and the inspection results. That data set replaces much of the paper trail that conventional qualification relies on, and it does so with a fidelity that paper-based qualification cannot match.</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B2A4A" w:sz="4"/>
              <w:left w:val="single" w:color="1B2A4A" w:sz="24"/>
              <w:bottom w:val="single" w:color="1B2A4A" w:sz="4"/>
              <w:right w:val="single" w:color="1B2A4A" w:sz="4"/>
            </w:tcBorders>
            <w:shd w:fill="D5E8F0" w:val="clear"/>
            <w:tcMar>
              <w:top w:type="dxa" w:w="180"/>
              <w:left w:type="dxa" w:w="240"/>
              <w:bottom w:type="dxa" w:w="180"/>
              <w:right w:type="dxa" w:w="240"/>
            </w:tcMar>
          </w:tcPr>
          <w:p>
            <w:pPr>
              <w:spacing w:after="80" w:before="80"/>
            </w:pPr>
            <w:r>
              <w:rPr>
                <w:rFonts w:ascii="Calibri" w:cs="Calibri" w:eastAsia="Calibri" w:hAnsi="Calibri"/>
                <w:b/>
                <w:bCs/>
                <w:color w:val="1B2A4A"/>
                <w:sz w:val="22"/>
                <w:szCs w:val="22"/>
              </w:rPr>
              <w:t xml:space="preserve">ATTRITABLE DESIGN TRADE SPACE</w:t>
            </w:r>
          </w:p>
          <w:p>
            <w:pPr>
              <w:spacing w:after="40" w:before="40" w:line="280"/>
            </w:pPr>
            <w:r>
              <w:rPr>
                <w:rFonts w:ascii="Calibri" w:cs="Calibri" w:eastAsia="Calibri" w:hAnsi="Calibri"/>
                <w:b/>
                <w:bCs/>
                <w:i w:val="false"/>
                <w:iCs w:val="false"/>
                <w:color w:val="1B2A4A"/>
                <w:sz w:val="21"/>
                <w:szCs w:val="21"/>
              </w:rPr>
              <w:t xml:space="preserve">Mission completion probability </w:t>
            </w:r>
            <w:r>
              <w:rPr>
                <w:rFonts w:ascii="Calibri" w:cs="Calibri" w:eastAsia="Calibri" w:hAnsi="Calibri"/>
                <w:b w:val="false"/>
                <w:bCs w:val="false"/>
                <w:i w:val="false"/>
                <w:iCs w:val="false"/>
                <w:color w:val="2C2C2C"/>
                <w:sz w:val="21"/>
                <w:szCs w:val="21"/>
              </w:rPr>
              <w:t xml:space="preserve">takes priority over extended service life. The engine must reliably complete the mission envelope. It does not need to complete a thousand of them.</w:t>
            </w:r>
          </w:p>
          <w:p>
            <w:pPr>
              <w:spacing w:after="40" w:before="40" w:line="280"/>
            </w:pPr>
            <w:r>
              <w:rPr>
                <w:rFonts w:ascii="Calibri" w:cs="Calibri" w:eastAsia="Calibri" w:hAnsi="Calibri"/>
                <w:b/>
                <w:bCs/>
                <w:i w:val="false"/>
                <w:iCs w:val="false"/>
                <w:color w:val="1B2A4A"/>
                <w:sz w:val="21"/>
                <w:szCs w:val="21"/>
              </w:rPr>
              <w:t xml:space="preserve">Unit cost </w:t>
            </w:r>
            <w:r>
              <w:rPr>
                <w:rFonts w:ascii="Calibri" w:cs="Calibri" w:eastAsia="Calibri" w:hAnsi="Calibri"/>
                <w:b w:val="false"/>
                <w:bCs w:val="false"/>
                <w:i w:val="false"/>
                <w:iCs w:val="false"/>
                <w:color w:val="2C2C2C"/>
                <w:sz w:val="21"/>
                <w:szCs w:val="21"/>
              </w:rPr>
              <w:t xml:space="preserve">is treated as a hard constraint rather than a soft preference. Cost growth of twenty percent in a manned engine is uncomfortable. In an attritable engine it is often a program killer.</w:t>
            </w:r>
          </w:p>
          <w:p>
            <w:pPr>
              <w:spacing w:after="40" w:before="40" w:line="280"/>
            </w:pPr>
            <w:r>
              <w:rPr>
                <w:rFonts w:ascii="Calibri" w:cs="Calibri" w:eastAsia="Calibri" w:hAnsi="Calibri"/>
                <w:b/>
                <w:bCs/>
                <w:i w:val="false"/>
                <w:iCs w:val="false"/>
                <w:color w:val="1B2A4A"/>
                <w:sz w:val="21"/>
                <w:szCs w:val="21"/>
              </w:rPr>
              <w:t xml:space="preserve">Qualification timeline </w:t>
            </w:r>
            <w:r>
              <w:rPr>
                <w:rFonts w:ascii="Calibri" w:cs="Calibri" w:eastAsia="Calibri" w:hAnsi="Calibri"/>
                <w:b w:val="false"/>
                <w:bCs w:val="false"/>
                <w:i w:val="false"/>
                <w:iCs w:val="false"/>
                <w:color w:val="2C2C2C"/>
                <w:sz w:val="21"/>
                <w:szCs w:val="21"/>
              </w:rPr>
              <w:t xml:space="preserve">is measured in months rather than years, and first article qualification relies heavily on statistical process data.</w:t>
            </w:r>
          </w:p>
          <w:p>
            <w:pPr>
              <w:spacing w:after="40" w:before="40" w:line="280"/>
            </w:pPr>
            <w:r>
              <w:rPr>
                <w:rFonts w:ascii="Calibri" w:cs="Calibri" w:eastAsia="Calibri" w:hAnsi="Calibri"/>
                <w:b/>
                <w:bCs/>
                <w:i w:val="false"/>
                <w:iCs w:val="false"/>
                <w:color w:val="1B2A4A"/>
                <w:sz w:val="21"/>
                <w:szCs w:val="21"/>
              </w:rPr>
              <w:t xml:space="preserve">Loss tolerance </w:t>
            </w:r>
            <w:r>
              <w:rPr>
                <w:rFonts w:ascii="Calibri" w:cs="Calibri" w:eastAsia="Calibri" w:hAnsi="Calibri"/>
                <w:b w:val="false"/>
                <w:bCs w:val="false"/>
                <w:i w:val="false"/>
                <w:iCs w:val="false"/>
                <w:color w:val="2C2C2C"/>
                <w:sz w:val="21"/>
                <w:szCs w:val="21"/>
              </w:rPr>
              <w:t xml:space="preserve">is an operational design parameter, not a failure mode. Swarm level mission success is the figure of merit.</w:t>
            </w:r>
          </w:p>
        </w:tc>
      </w:tr>
    </w:tbl>
    <w:p>
      <w:pPr>
        <w:pStyle w:val="Heading2"/>
        <w:spacing w:after="140" w:before="300" w:line="300"/>
      </w:pPr>
      <w:r>
        <w:rPr>
          <w:rFonts w:ascii="Calibri" w:cs="Calibri" w:eastAsia="Calibri" w:hAnsi="Calibri"/>
          <w:b/>
          <w:bCs/>
          <w:color w:val="1B2A4A"/>
          <w:sz w:val="28"/>
          <w:szCs w:val="28"/>
        </w:rPr>
        <w:t xml:space="preserve">2.4 Heavy Fuel and VTOL Requirements</w:t>
      </w:r>
    </w:p>
    <w:p>
      <w:pPr>
        <w:spacing w:after="120" w:before="60" w:line="300"/>
        <w:jc w:val="both"/>
      </w:pPr>
      <w:r>
        <w:rPr>
          <w:rFonts w:ascii="Calibri" w:cs="Calibri" w:eastAsia="Calibri" w:hAnsi="Calibri"/>
          <w:b w:val="false"/>
          <w:bCs w:val="false"/>
          <w:i w:val="false"/>
          <w:iCs w:val="false"/>
          <w:color w:val="2C2C2C"/>
          <w:sz w:val="22"/>
          <w:szCs w:val="22"/>
        </w:rPr>
        <w:t xml:space="preserve">Military logistics is organized around heavy fuel. A drone engine that requires gasoline, propane, or specialized fuel blends cannot be sustained at a forward operating base that is already organized around JP-8 delivery. Every serious attritable engine program therefore specifies heavy fuel compatibility as a baseline requirement, and this in turn places specific demands on the combustor and hot section design.</w:t>
      </w:r>
    </w:p>
    <w:p>
      <w:pPr>
        <w:spacing w:after="120" w:before="60" w:line="300"/>
        <w:jc w:val="both"/>
      </w:pPr>
      <w:r>
        <w:rPr>
          <w:rFonts w:ascii="Calibri" w:cs="Calibri" w:eastAsia="Calibri" w:hAnsi="Calibri"/>
          <w:b w:val="false"/>
          <w:bCs w:val="false"/>
          <w:i w:val="false"/>
          <w:iCs w:val="false"/>
          <w:color w:val="2C2C2C"/>
          <w:sz w:val="22"/>
          <w:szCs w:val="22"/>
        </w:rPr>
        <w:t xml:space="preserve">Vertical takeoff and landing capability, whether achieved through a tilt wing, a tilt rotor, or a hybrid lift fan and turbine architecture, is increasingly common in platform specifications. VTOL configurations broaden the set of operating bases, reduce runway dependence, and enable employment in contested or expeditionary environments where fixed airfields cannot be assumed. Turbine hot sections in VTOL platforms experience different thermal cycles than those in conventional takeoff designs, and this must be accounted for in alloy selection and blade design.</w:t>
      </w:r>
    </w:p>
    <w:p>
      <w:pPr>
        <w:pStyle w:val="Heading2"/>
        <w:spacing w:after="140" w:before="300" w:line="300"/>
      </w:pPr>
      <w:r>
        <w:rPr>
          <w:rFonts w:ascii="Calibri" w:cs="Calibri" w:eastAsia="Calibri" w:hAnsi="Calibri"/>
          <w:b/>
          <w:bCs/>
          <w:color w:val="1B2A4A"/>
          <w:sz w:val="28"/>
          <w:szCs w:val="28"/>
        </w:rPr>
        <w:t xml:space="preserve">2.5 Implications for the Casting Base</w:t>
      </w:r>
    </w:p>
    <w:p>
      <w:pPr>
        <w:spacing w:after="120" w:before="60" w:line="300"/>
        <w:jc w:val="both"/>
      </w:pPr>
      <w:r>
        <w:rPr>
          <w:rFonts w:ascii="Calibri" w:cs="Calibri" w:eastAsia="Calibri" w:hAnsi="Calibri"/>
          <w:b w:val="false"/>
          <w:bCs w:val="false"/>
          <w:i w:val="false"/>
          <w:iCs w:val="false"/>
          <w:color w:val="2C2C2C"/>
          <w:sz w:val="22"/>
          <w:szCs w:val="22"/>
        </w:rPr>
        <w:t xml:space="preserve">The implications for the casting base are clear. The attritable microturbine market will demand nickel superalloy airfoils at volumes that are a multiple of current production. The blades will be produced to specifications that are similar to manned aviation blades in most performance dimensions and nearly identical in material properties. But the cost target, the qualification timeline, and the unit economics will be so different that the existing industrial approach simply cannot meet the specification.</w:t>
      </w:r>
    </w:p>
    <w:p>
      <w:pPr>
        <w:spacing w:after="120" w:before="60" w:line="300"/>
        <w:jc w:val="both"/>
      </w:pPr>
      <w:r>
        <w:rPr>
          <w:rFonts w:ascii="Calibri" w:cs="Calibri" w:eastAsia="Calibri" w:hAnsi="Calibri"/>
          <w:b w:val="false"/>
          <w:bCs w:val="false"/>
          <w:i w:val="false"/>
          <w:iCs w:val="false"/>
          <w:color w:val="2C2C2C"/>
          <w:sz w:val="22"/>
          <w:szCs w:val="22"/>
        </w:rPr>
        <w:t xml:space="preserve">The solution, developed in the sections that follow, is to apply digital process control and additive ceramic mold technology to the portion of the value chain where lead time and cost are concentrated, while preserving the portions of the value chain, notably vacuum induction melting and directional solidification, where decades of foundry expertise are irreplaceable.</w:t>
      </w:r>
    </w:p>
    <w:p>
      <w:pPr>
        <w:pageBreakBefore/>
        <w:spacing w:after="60" w:before="200"/>
      </w:pPr>
      <w:r>
        <w:rPr>
          <w:rFonts w:ascii="Calibri" w:cs="Calibri" w:eastAsia="Calibri" w:hAnsi="Calibri"/>
          <w:b/>
          <w:bCs/>
          <w:color w:val="2E5C8A"/>
          <w:sz w:val="18"/>
          <w:szCs w:val="18"/>
        </w:rPr>
        <w:t xml:space="preserve">SECTION 3</w:t>
      </w:r>
    </w:p>
    <w:p>
      <w:pPr>
        <w:pStyle w:val="Heading1"/>
        <w:spacing w:after="200" w:before="400" w:line="300"/>
      </w:pPr>
      <w:r>
        <w:rPr>
          <w:rFonts w:ascii="Calibri" w:cs="Calibri" w:eastAsia="Calibri" w:hAnsi="Calibri"/>
          <w:b/>
          <w:bCs/>
          <w:color w:val="1B2A4A"/>
          <w:sz w:val="36"/>
          <w:szCs w:val="36"/>
        </w:rPr>
        <w:t xml:space="preserve">Nickel Superalloys and the Case for MAR-M247</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The case for nickel superalloys in turbine hot sections is not new, but it bears repetition in the context of attritable microturbines because the temptation to substitute less capable and less expensive materials grows with the cost pressure that attritable programs apply. The technical conclusion is unambiguous. Nickel superalloys, and specifically directionally solidified MAR-M247 and its relatives, remain the only viable hot section airfoil material for engines operating above one thousand degrees Celsius.</w:t>
      </w:r>
    </w:p>
    <w:p>
      <w:pPr>
        <w:pStyle w:val="Heading2"/>
        <w:spacing w:after="140" w:before="300" w:line="300"/>
      </w:pPr>
      <w:r>
        <w:rPr>
          <w:rFonts w:ascii="Calibri" w:cs="Calibri" w:eastAsia="Calibri" w:hAnsi="Calibri"/>
          <w:b/>
          <w:bCs/>
          <w:color w:val="1B2A4A"/>
          <w:sz w:val="28"/>
          <w:szCs w:val="28"/>
        </w:rPr>
        <w:t xml:space="preserve">3.1 Why Nickel Base Alloys Dominate</w:t>
      </w:r>
    </w:p>
    <w:p>
      <w:pPr>
        <w:spacing w:after="120" w:before="60" w:line="300"/>
        <w:jc w:val="both"/>
      </w:pPr>
      <w:r>
        <w:rPr>
          <w:rFonts w:ascii="Calibri" w:cs="Calibri" w:eastAsia="Calibri" w:hAnsi="Calibri"/>
          <w:b w:val="false"/>
          <w:bCs w:val="false"/>
          <w:i w:val="false"/>
          <w:iCs w:val="false"/>
          <w:color w:val="2C2C2C"/>
          <w:sz w:val="22"/>
          <w:szCs w:val="22"/>
        </w:rPr>
        <w:t xml:space="preserve">The performance envelope of a turbine airfoil is set by a combination of melting point, creep resistance, oxidation and sulfidation resistance, thermal fatigue tolerance, and phase stability at operating temperature. Nickel-base superalloys, strengthened by coherent gamma prime precipitates of composition Ni₃Al and Ni₃Ta, combine these properties in a manner that no other metallurgical system matches over the relevant temperature range.</w:t>
      </w:r>
    </w:p>
    <w:p>
      <w:pPr>
        <w:spacing w:after="120" w:before="60" w:line="300"/>
        <w:jc w:val="both"/>
      </w:pPr>
      <w:r>
        <w:rPr>
          <w:rFonts w:ascii="Calibri" w:cs="Calibri" w:eastAsia="Calibri" w:hAnsi="Calibri"/>
          <w:b w:val="false"/>
          <w:bCs w:val="false"/>
          <w:i w:val="false"/>
          <w:iCs w:val="false"/>
          <w:color w:val="2C2C2C"/>
          <w:sz w:val="22"/>
          <w:szCs w:val="22"/>
        </w:rPr>
        <w:t xml:space="preserve">Titanium alloys remain unrivaled in compressor applications where temperatures stay below the gamma prime operating window, but they lose strength rapidly above six hundred degrees Celsius and cannot be used in the hot section. Cobalt alloys offer excellent oxidation performance but inferior high-temperature strength. Intermetallics such as gamma titanium aluminide are promising for low-pressure turbine applications and for future weight reduction but are still maturing for single crystal hot section blades. Ceramic matrix composites are in limited production at the largest OEMs, again primarily in shrouds and nozzles rather than rotating airfoils. For the foreseeable future, the rotating blade in a microturbine hot section will be made of a nickel superalloy.</w:t>
      </w:r>
    </w:p>
    <w:p>
      <w:pPr>
        <w:pStyle w:val="Heading2"/>
        <w:spacing w:after="140" w:before="300" w:line="300"/>
      </w:pPr>
      <w:r>
        <w:rPr>
          <w:rFonts w:ascii="Calibri" w:cs="Calibri" w:eastAsia="Calibri" w:hAnsi="Calibri"/>
          <w:b/>
          <w:bCs/>
          <w:color w:val="1B2A4A"/>
          <w:sz w:val="28"/>
          <w:szCs w:val="28"/>
        </w:rPr>
        <w:t xml:space="preserve">3.2 The MAR-M247 Case in Particular</w:t>
      </w:r>
    </w:p>
    <w:p>
      <w:pPr>
        <w:spacing w:after="120" w:before="60" w:line="300"/>
        <w:jc w:val="both"/>
      </w:pPr>
      <w:r>
        <w:rPr>
          <w:rFonts w:ascii="Calibri" w:cs="Calibri" w:eastAsia="Calibri" w:hAnsi="Calibri"/>
          <w:b w:val="false"/>
          <w:bCs w:val="false"/>
          <w:i w:val="false"/>
          <w:iCs w:val="false"/>
          <w:color w:val="2C2C2C"/>
          <w:sz w:val="22"/>
          <w:szCs w:val="22"/>
        </w:rPr>
        <w:t xml:space="preserve">MAR-M247 is a nickel-base superalloy originally developed for land-based and aviation gas turbine blades. Its nominal composition, shown in the table below, combines approximately ten percent cobalt for solid solution strengthening, ten percent tungsten for additional creep resistance and carbide stability, five and a half percent aluminum to form the gamma prime strengthening phase, three percent tantalum to stabilize gamma prime and add solid solution strengthening, eight and a half percent chromium for oxidation and sulfidation resistance, and one and a half percent hafnium for grain boundary strengthening in directionally solidified or equiaxed forms.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4680"/>
      </w:tblGrid>
      <w:tr>
        <w:trPr>
          <w:cantSplit/>
          <w:tblHeader/>
        </w:trPr>
        <w:tc>
          <w:tcPr>
            <w:tcW w:type="dxa" w:w="234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Element</w:t>
            </w:r>
          </w:p>
        </w:tc>
        <w:tc>
          <w:tcPr>
            <w:tcW w:type="dxa" w:w="234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Nominal Weight Percent</w:t>
            </w:r>
          </w:p>
        </w:tc>
        <w:tc>
          <w:tcPr>
            <w:tcW w:type="dxa" w:w="468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Primary Metallurgical Role</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Nickel</w:t>
            </w:r>
          </w:p>
        </w:tc>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Balance</w:t>
            </w:r>
          </w:p>
        </w:tc>
        <w:tc>
          <w:tcPr>
            <w:tcW w:type="dxa" w:w="468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Base metal, gamma matrix</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Cobalt</w:t>
            </w:r>
          </w:p>
        </w:tc>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10.0</w:t>
            </w:r>
          </w:p>
        </w:tc>
        <w:tc>
          <w:tcPr>
            <w:tcW w:type="dxa" w:w="468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Solid solution strengthening</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Tungsten</w:t>
            </w:r>
          </w:p>
        </w:tc>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10.0</w:t>
            </w:r>
          </w:p>
        </w:tc>
        <w:tc>
          <w:tcPr>
            <w:tcW w:type="dxa" w:w="468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Creep resistance and carbide stability</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Aluminum</w:t>
            </w:r>
          </w:p>
        </w:tc>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5.5</w:t>
            </w:r>
          </w:p>
        </w:tc>
        <w:tc>
          <w:tcPr>
            <w:tcW w:type="dxa" w:w="468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Gamma prime former</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Tantalum</w:t>
            </w:r>
          </w:p>
        </w:tc>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3.0</w:t>
            </w:r>
          </w:p>
        </w:tc>
        <w:tc>
          <w:tcPr>
            <w:tcW w:type="dxa" w:w="468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Gamma prime stabilizer</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Chromium</w:t>
            </w:r>
          </w:p>
        </w:tc>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8.4</w:t>
            </w:r>
          </w:p>
        </w:tc>
        <w:tc>
          <w:tcPr>
            <w:tcW w:type="dxa" w:w="468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Oxidation resistance</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Hafnium</w:t>
            </w:r>
          </w:p>
        </w:tc>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1.5</w:t>
            </w:r>
          </w:p>
        </w:tc>
        <w:tc>
          <w:tcPr>
            <w:tcW w:type="dxa" w:w="468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Grain boundary strengthening</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Titanium</w:t>
            </w:r>
          </w:p>
        </w:tc>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1.0</w:t>
            </w:r>
          </w:p>
        </w:tc>
        <w:tc>
          <w:tcPr>
            <w:tcW w:type="dxa" w:w="468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Gamma prime former</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Molybdenum</w:t>
            </w:r>
          </w:p>
        </w:tc>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0.6</w:t>
            </w:r>
          </w:p>
        </w:tc>
        <w:tc>
          <w:tcPr>
            <w:tcW w:type="dxa" w:w="468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Solid solution strengthening</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Carbon</w:t>
            </w:r>
          </w:p>
        </w:tc>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0.15</w:t>
            </w:r>
          </w:p>
        </w:tc>
        <w:tc>
          <w:tcPr>
            <w:tcW w:type="dxa" w:w="468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Carbide former</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Boron</w:t>
            </w:r>
          </w:p>
        </w:tc>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0.015</w:t>
            </w:r>
          </w:p>
        </w:tc>
        <w:tc>
          <w:tcPr>
            <w:tcW w:type="dxa" w:w="468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Grain boundary strengthening</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Zirconium</w:t>
            </w:r>
          </w:p>
        </w:tc>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0.05</w:t>
            </w:r>
          </w:p>
        </w:tc>
        <w:tc>
          <w:tcPr>
            <w:tcW w:type="dxa" w:w="468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Grain boundary strengthening</w:t>
            </w:r>
          </w:p>
        </w:tc>
      </w:tr>
    </w:tbl>
    <w:p>
      <w:pPr>
        <w:spacing w:after="200" w:before="0"/>
      </w:pPr>
      <w: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The resulting alloy provides sustained creep and oxidation performance above one thousand degrees Celsius, exceptional resistance to thermal fatigue and stress rupture, and compatibility with investment casting in equiaxed and directional solidification processes. It has an extensive flight pedigree across commercial aviation, land-based industrial gas turbines, and military aviation applications, which means a new attritable microturbine program can inherit a large and well-characterized property database rather than developing one from scratch.</w:t>
      </w:r>
    </w:p>
    <w:p>
      <w:pPr>
        <w:pStyle w:val="Heading2"/>
        <w:spacing w:after="140" w:before="300" w:line="300"/>
      </w:pPr>
      <w:r>
        <w:rPr>
          <w:rFonts w:ascii="Calibri" w:cs="Calibri" w:eastAsia="Calibri" w:hAnsi="Calibri"/>
          <w:b/>
          <w:bCs/>
          <w:color w:val="1B2A4A"/>
          <w:sz w:val="28"/>
          <w:szCs w:val="28"/>
        </w:rPr>
        <w:t xml:space="preserve">3.3 Grain Structure and Microstructural Control</w:t>
      </w:r>
    </w:p>
    <w:p>
      <w:pPr>
        <w:spacing w:after="120" w:before="60" w:line="300"/>
        <w:jc w:val="both"/>
      </w:pPr>
      <w:r>
        <w:rPr>
          <w:rFonts w:ascii="Calibri" w:cs="Calibri" w:eastAsia="Calibri" w:hAnsi="Calibri"/>
          <w:b w:val="false"/>
          <w:bCs w:val="false"/>
          <w:i w:val="false"/>
          <w:iCs w:val="false"/>
          <w:color w:val="2C2C2C"/>
          <w:sz w:val="22"/>
          <w:szCs w:val="22"/>
        </w:rPr>
        <w:t xml:space="preserve">The same chemistry can be cast in three distinct grain architectures, each with different performance and cost implications. Equiaxed castings contain many randomly oriented grains and offer the lowest cost and the widest processing window, but they show the earliest creep failure at high temperatures because transverse grain boundaries are creep weak. Directionally solidified castings contain columnar grains oriented along the principal stress axis, typically the radial axis of the blade, which eliminates the weak transverse boundaries and extends creep life significantly. Single crystal castings eliminate grain boundaries entirely, delivering the highest service temperature and the longest life, but at the highest cost and with the narrowest processing window.</w:t>
      </w:r>
    </w:p>
    <w:p>
      <w:pPr>
        <w:spacing w:after="120" w:before="60" w:line="300"/>
        <w:jc w:val="both"/>
      </w:pPr>
      <w:r>
        <w:rPr>
          <w:rFonts w:ascii="Calibri" w:cs="Calibri" w:eastAsia="Calibri" w:hAnsi="Calibri"/>
          <w:b w:val="false"/>
          <w:bCs w:val="false"/>
          <w:i w:val="false"/>
          <w:iCs w:val="false"/>
          <w:color w:val="2C2C2C"/>
          <w:sz w:val="22"/>
          <w:szCs w:val="22"/>
        </w:rPr>
        <w:t xml:space="preserve">For attritable microturbine airfoils, the trade space typically falls between equiaxed and directionally solidified. Single crystal performance is often not required for the duty cycle of the attritable engine, and the cost differential is difficult to justify. Directionally solidified MAR-M247 in particular represents a near-optimal balance of performance, cost, and process maturity for the attritable use case.</w:t>
      </w:r>
    </w:p>
    <w:p>
      <w:pPr>
        <w:pStyle w:val="Heading2"/>
        <w:spacing w:after="140" w:before="300" w:line="300"/>
      </w:pPr>
      <w:r>
        <w:rPr>
          <w:rFonts w:ascii="Calibri" w:cs="Calibri" w:eastAsia="Calibri" w:hAnsi="Calibri"/>
          <w:b/>
          <w:bCs/>
          <w:color w:val="1B2A4A"/>
          <w:sz w:val="28"/>
          <w:szCs w:val="28"/>
        </w:rPr>
        <w:t xml:space="preserve">3.4 Gamma Prime Strengthening</w:t>
      </w:r>
    </w:p>
    <w:p>
      <w:pPr>
        <w:spacing w:after="120" w:before="60" w:line="300"/>
        <w:jc w:val="both"/>
      </w:pPr>
      <w:r>
        <w:rPr>
          <w:rFonts w:ascii="Calibri" w:cs="Calibri" w:eastAsia="Calibri" w:hAnsi="Calibri"/>
          <w:b w:val="false"/>
          <w:bCs w:val="false"/>
          <w:i w:val="false"/>
          <w:iCs w:val="false"/>
          <w:color w:val="2C2C2C"/>
          <w:sz w:val="22"/>
          <w:szCs w:val="22"/>
        </w:rPr>
        <w:t xml:space="preserve">The principal strengthening mechanism in MAR-M247 is coherent gamma prime precipitation. During controlled cooling and heat treatment, a volume fraction of approximately sixty to seventy percent gamma prime precipitates forms within the gamma matrix. Because gamma prime is coherent with gamma, dislocations moving through the matrix are forced to either shear the precipitates or loop around them, both of which require substantially more energy than dislocation motion through pure gamma. The net result is a dramatic increase in flow stress and creep resistance at operating temperature.</w:t>
      </w:r>
    </w:p>
    <w:p>
      <w:pPr>
        <w:spacing w:after="120" w:before="60" w:line="300"/>
        <w:jc w:val="both"/>
      </w:pPr>
      <w:r>
        <w:rPr>
          <w:rFonts w:ascii="Calibri" w:cs="Calibri" w:eastAsia="Calibri" w:hAnsi="Calibri"/>
          <w:b w:val="false"/>
          <w:bCs w:val="false"/>
          <w:i w:val="false"/>
          <w:iCs w:val="false"/>
          <w:color w:val="2C2C2C"/>
          <w:sz w:val="22"/>
          <w:szCs w:val="22"/>
        </w:rPr>
        <w:t xml:space="preserve">The size, distribution, and volume fraction of gamma prime are sensitive to cooling rate, heat treatment, and aluminum plus tantalum content. Controlling these variables through casting and heat treatment is where much of the art of superalloy metallurgy resides. Digital casting, by capturing process data at every step of the chain, allows this art to become a science of statistical process control, which is essential for qualifying high-volume attritable production.</w:t>
      </w:r>
    </w:p>
    <w:p>
      <w:pPr>
        <w:pStyle w:val="Heading2"/>
        <w:spacing w:after="140" w:before="300" w:line="300"/>
      </w:pPr>
      <w:r>
        <w:rPr>
          <w:rFonts w:ascii="Calibri" w:cs="Calibri" w:eastAsia="Calibri" w:hAnsi="Calibri"/>
          <w:b/>
          <w:bCs/>
          <w:color w:val="1B2A4A"/>
          <w:sz w:val="28"/>
          <w:szCs w:val="28"/>
        </w:rPr>
        <w:t xml:space="preserve">3.5 The Material Qualification Challenge</w:t>
      </w:r>
    </w:p>
    <w:p>
      <w:pPr>
        <w:spacing w:after="120" w:before="60" w:line="300"/>
        <w:jc w:val="both"/>
      </w:pPr>
      <w:r>
        <w:rPr>
          <w:rFonts w:ascii="Calibri" w:cs="Calibri" w:eastAsia="Calibri" w:hAnsi="Calibri"/>
          <w:b w:val="false"/>
          <w:bCs w:val="false"/>
          <w:i w:val="false"/>
          <w:iCs w:val="false"/>
          <w:color w:val="2C2C2C"/>
          <w:sz w:val="22"/>
          <w:szCs w:val="22"/>
        </w:rPr>
        <w:t xml:space="preserve">A new microturbine program, even an attritable one, must demonstrate that its cast MAR-M247 blades meet the required mechanical property specifications. The traditional property database for MAR-M247 was compiled using specific combinations of alloy heat, mold system, pour conditions, and heat treatment. Introducing a new casting process, even one that produces nominally identical metallurgy, triggers a requalification effort.</w:t>
      </w:r>
    </w:p>
    <w:p>
      <w:pPr>
        <w:spacing w:after="120" w:before="60" w:line="300"/>
        <w:jc w:val="both"/>
      </w:pPr>
      <w:r>
        <w:rPr>
          <w:rFonts w:ascii="Calibri" w:cs="Calibri" w:eastAsia="Calibri" w:hAnsi="Calibri"/>
          <w:b w:val="false"/>
          <w:bCs w:val="false"/>
          <w:i w:val="false"/>
          <w:iCs w:val="false"/>
          <w:color w:val="2C2C2C"/>
          <w:sz w:val="22"/>
          <w:szCs w:val="22"/>
        </w:rPr>
        <w:t xml:space="preserve">The relaxed qualification pathway that attritable systems permit is not a waiver of this requirement. It is a re weighting of the requirement toward statistical process control evidence and a narrowing of the qualification scope to the specific mission envelope of the attritable engine. Digital casting data, combined with coupon testing and representative part testing, can close the qualification loop in months rather than years.</w:t>
      </w:r>
    </w:p>
    <w:p>
      <w:pPr>
        <w:spacing w:after="160" w:before="0"/>
      </w:pPr>
      <w:r>
        <w:t xml:space="preserve"/>
      </w:r>
    </w:p>
    <w:p>
      <w:pPr>
        <w:pStyle w:val="Heading3"/>
        <w:spacing w:after="100" w:before="220" w:line="300"/>
      </w:pPr>
      <w:r>
        <w:rPr>
          <w:rFonts w:ascii="Calibri" w:cs="Calibri" w:eastAsia="Calibri" w:hAnsi="Calibri"/>
          <w:b/>
          <w:bCs/>
          <w:color w:val="2E5C8A"/>
          <w:sz w:val="24"/>
          <w:szCs w:val="24"/>
        </w:rPr>
        <w:t xml:space="preserve">Representative Properties at Operating Temperature</w:t>
      </w:r>
    </w:p>
    <w:p>
      <w:pPr>
        <w:spacing w:after="8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cantSplit/>
          <w:tblHeader/>
        </w:trPr>
        <w:tc>
          <w:tcPr>
            <w:tcW w:type="dxa" w:w="312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Property</w:t>
            </w:r>
          </w:p>
        </w:tc>
        <w:tc>
          <w:tcPr>
            <w:tcW w:type="dxa" w:w="312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Value at 870 C</w:t>
            </w:r>
          </w:p>
        </w:tc>
        <w:tc>
          <w:tcPr>
            <w:tcW w:type="dxa" w:w="312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Value at 982 C</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Tensile strength</w:t>
            </w:r>
          </w:p>
        </w:tc>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780 to 870 MPa</w:t>
            </w:r>
          </w:p>
        </w:tc>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410 to 520 MPa</w:t>
            </w:r>
          </w:p>
        </w:tc>
      </w:tr>
      <w:tr>
        <w:trPr>
          <w:cantSplit/>
        </w:trPr>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Yield strength</w:t>
            </w:r>
          </w:p>
        </w:tc>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650 to 720 MPa</w:t>
            </w:r>
          </w:p>
        </w:tc>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310 to 380 MPa</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Elongation</w:t>
            </w:r>
          </w:p>
        </w:tc>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4 to 8 percent</w:t>
            </w:r>
          </w:p>
        </w:tc>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8 to 14 percent</w:t>
            </w:r>
          </w:p>
        </w:tc>
      </w:tr>
      <w:tr>
        <w:trPr>
          <w:cantSplit/>
        </w:trPr>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Rupture life at 200 MPa</w:t>
            </w:r>
          </w:p>
        </w:tc>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600 to 1000 hours</w:t>
            </w:r>
          </w:p>
        </w:tc>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Short rupture not typical</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Creep strain at 200 MPa, 100 hours</w:t>
            </w:r>
          </w:p>
        </w:tc>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Less than 0.1 percent</w:t>
            </w:r>
          </w:p>
        </w:tc>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Less than 0.5 percent</w:t>
            </w:r>
          </w:p>
        </w:tc>
      </w:tr>
    </w:tbl>
    <w:p>
      <w:pPr>
        <w:spacing w:after="120" w:before="0"/>
      </w:pPr>
      <w: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Values shown are representative of directionally solidified MAR-M247 with standard heat treatment. They are intended for orientation only and are not specification guarantees. Actual design allowables must be established by material qualification against the applicable standard for the specific program.</w:t>
      </w:r>
    </w:p>
    <w:p>
      <w:pPr>
        <w:pageBreakBefore/>
        <w:spacing w:after="60" w:before="200"/>
      </w:pPr>
      <w:r>
        <w:rPr>
          <w:rFonts w:ascii="Calibri" w:cs="Calibri" w:eastAsia="Calibri" w:hAnsi="Calibri"/>
          <w:b/>
          <w:bCs/>
          <w:color w:val="2E5C8A"/>
          <w:sz w:val="18"/>
          <w:szCs w:val="18"/>
        </w:rPr>
        <w:t xml:space="preserve">SECTION 4</w:t>
      </w:r>
    </w:p>
    <w:p>
      <w:pPr>
        <w:pStyle w:val="Heading1"/>
        <w:spacing w:after="200" w:before="400" w:line="300"/>
      </w:pPr>
      <w:r>
        <w:rPr>
          <w:rFonts w:ascii="Calibri" w:cs="Calibri" w:eastAsia="Calibri" w:hAnsi="Calibri"/>
          <w:b/>
          <w:bCs/>
          <w:color w:val="1B2A4A"/>
          <w:sz w:val="36"/>
          <w:szCs w:val="36"/>
        </w:rPr>
        <w:t xml:space="preserve">Conventional Investment Casting and Its Limits</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To understand why a new manufacturing approach is required, it is useful to examine the conventional investment casting process in some detail. The lost-wax method has a lineage that extends back several thousand years, and its industrial form has been refined over six decades of aerospace production. It is a reliable, well-understood, and highly capable process. It is also a process whose structural limits are now being exposed by the volume, cost, and lead time demands of attritable autonomy.</w:t>
      </w:r>
    </w:p>
    <w:p>
      <w:pPr>
        <w:pStyle w:val="Heading2"/>
        <w:spacing w:after="140" w:before="300" w:line="300"/>
      </w:pPr>
      <w:r>
        <w:rPr>
          <w:rFonts w:ascii="Calibri" w:cs="Calibri" w:eastAsia="Calibri" w:hAnsi="Calibri"/>
          <w:b/>
          <w:bCs/>
          <w:color w:val="1B2A4A"/>
          <w:sz w:val="28"/>
          <w:szCs w:val="28"/>
        </w:rPr>
        <w:t xml:space="preserve">4.1 The Twelve Step Conventional Process</w:t>
      </w:r>
    </w:p>
    <w:p>
      <w:pPr>
        <w:spacing w:after="120" w:before="60" w:line="300"/>
        <w:jc w:val="both"/>
      </w:pPr>
      <w:r>
        <w:rPr>
          <w:rFonts w:ascii="Calibri" w:cs="Calibri" w:eastAsia="Calibri" w:hAnsi="Calibri"/>
          <w:b w:val="false"/>
          <w:bCs w:val="false"/>
          <w:i w:val="false"/>
          <w:iCs w:val="false"/>
          <w:color w:val="2C2C2C"/>
          <w:sz w:val="22"/>
          <w:szCs w:val="22"/>
        </w:rPr>
        <w:t xml:space="preserve">A conventional investment cast turbine airfoil passes through twelve principal process steps before it becomes a finished part. Each step adds cost, lead time, and opportunity for scrap. The sequence is approximately as follows.</w:t>
      </w:r>
    </w:p>
    <w:p>
      <w:pPr>
        <w:pStyle w:val="ListParagraph"/>
        <w:numPr>
          <w:ilvl w:val="0"/>
          <w:numId w:val="3"/>
        </w:numPr>
        <w:spacing w:after="40" w:before="40" w:line="280"/>
      </w:pPr>
      <w:r>
        <w:rPr>
          <w:rFonts w:ascii="Calibri" w:cs="Calibri" w:eastAsia="Calibri" w:hAnsi="Calibri"/>
          <w:color w:val="2C2C2C"/>
          <w:sz w:val="22"/>
          <w:szCs w:val="22"/>
        </w:rPr>
        <w:t xml:space="preserve">Core tooling design. An engineering team designs hard tooling for injection of the ceramic core that will form the blade's internal cooling passages.</w:t>
      </w:r>
    </w:p>
    <w:p>
      <w:pPr>
        <w:pStyle w:val="ListParagraph"/>
        <w:numPr>
          <w:ilvl w:val="0"/>
          <w:numId w:val="3"/>
        </w:numPr>
        <w:spacing w:after="40" w:before="40" w:line="280"/>
      </w:pPr>
      <w:r>
        <w:rPr>
          <w:rFonts w:ascii="Calibri" w:cs="Calibri" w:eastAsia="Calibri" w:hAnsi="Calibri"/>
          <w:color w:val="2C2C2C"/>
          <w:sz w:val="22"/>
          <w:szCs w:val="22"/>
        </w:rPr>
        <w:t xml:space="preserve">Core tooling manufacture. The tooling is machined from steel, typically at a specialist shop, and is expensive and long lead.</w:t>
      </w:r>
    </w:p>
    <w:p>
      <w:pPr>
        <w:pStyle w:val="ListParagraph"/>
        <w:numPr>
          <w:ilvl w:val="0"/>
          <w:numId w:val="3"/>
        </w:numPr>
        <w:spacing w:after="40" w:before="40" w:line="280"/>
      </w:pPr>
      <w:r>
        <w:rPr>
          <w:rFonts w:ascii="Calibri" w:cs="Calibri" w:eastAsia="Calibri" w:hAnsi="Calibri"/>
          <w:color w:val="2C2C2C"/>
          <w:sz w:val="22"/>
          <w:szCs w:val="22"/>
        </w:rPr>
        <w:t xml:space="preserve">Ceramic core injection. Ceramic slurry is injected into the core tooling, then fired to produce a dimensionally stable ceramic core.</w:t>
      </w:r>
    </w:p>
    <w:p>
      <w:pPr>
        <w:pStyle w:val="ListParagraph"/>
        <w:numPr>
          <w:ilvl w:val="0"/>
          <w:numId w:val="3"/>
        </w:numPr>
        <w:spacing w:after="40" w:before="40" w:line="280"/>
      </w:pPr>
      <w:r>
        <w:rPr>
          <w:rFonts w:ascii="Calibri" w:cs="Calibri" w:eastAsia="Calibri" w:hAnsi="Calibri"/>
          <w:color w:val="2C2C2C"/>
          <w:sz w:val="22"/>
          <w:szCs w:val="22"/>
        </w:rPr>
        <w:t xml:space="preserve">Wax tooling design. A separate hard tool is designed to injection mold the wax pattern around the ceramic core.</w:t>
      </w:r>
    </w:p>
    <w:p>
      <w:pPr>
        <w:pStyle w:val="ListParagraph"/>
        <w:numPr>
          <w:ilvl w:val="0"/>
          <w:numId w:val="3"/>
        </w:numPr>
        <w:spacing w:after="40" w:before="40" w:line="280"/>
      </w:pPr>
      <w:r>
        <w:rPr>
          <w:rFonts w:ascii="Calibri" w:cs="Calibri" w:eastAsia="Calibri" w:hAnsi="Calibri"/>
          <w:color w:val="2C2C2C"/>
          <w:sz w:val="22"/>
          <w:szCs w:val="22"/>
        </w:rPr>
        <w:t xml:space="preserve">Wax tooling manufacture. The wax tool is machined, again at a specialist shop, with additional cost and lead time.</w:t>
      </w:r>
    </w:p>
    <w:p>
      <w:pPr>
        <w:pStyle w:val="ListParagraph"/>
        <w:numPr>
          <w:ilvl w:val="0"/>
          <w:numId w:val="3"/>
        </w:numPr>
        <w:spacing w:after="40" w:before="40" w:line="280"/>
      </w:pPr>
      <w:r>
        <w:rPr>
          <w:rFonts w:ascii="Calibri" w:cs="Calibri" w:eastAsia="Calibri" w:hAnsi="Calibri"/>
          <w:color w:val="2C2C2C"/>
          <w:sz w:val="22"/>
          <w:szCs w:val="22"/>
        </w:rPr>
        <w:t xml:space="preserve">Wax pattern injection. Wax is injected into the wax tool with the ceramic core in place. The resulting wax pattern is a dimensional replica of the final part, with the ceramic core located inside.</w:t>
      </w:r>
    </w:p>
    <w:p>
      <w:pPr>
        <w:pStyle w:val="ListParagraph"/>
        <w:numPr>
          <w:ilvl w:val="0"/>
          <w:numId w:val="3"/>
        </w:numPr>
        <w:spacing w:after="40" w:before="40" w:line="280"/>
      </w:pPr>
      <w:r>
        <w:rPr>
          <w:rFonts w:ascii="Calibri" w:cs="Calibri" w:eastAsia="Calibri" w:hAnsi="Calibri"/>
          <w:color w:val="2C2C2C"/>
          <w:sz w:val="22"/>
          <w:szCs w:val="22"/>
        </w:rPr>
        <w:t xml:space="preserve">Wax pattern assembly. Multiple wax patterns are assembled onto a wax tree along with the gating and risering that will feed the pour.</w:t>
      </w:r>
    </w:p>
    <w:p>
      <w:pPr>
        <w:pStyle w:val="ListParagraph"/>
        <w:numPr>
          <w:ilvl w:val="0"/>
          <w:numId w:val="3"/>
        </w:numPr>
        <w:spacing w:after="40" w:before="40" w:line="280"/>
      </w:pPr>
      <w:r>
        <w:rPr>
          <w:rFonts w:ascii="Calibri" w:cs="Calibri" w:eastAsia="Calibri" w:hAnsi="Calibri"/>
          <w:color w:val="2C2C2C"/>
          <w:sz w:val="22"/>
          <w:szCs w:val="22"/>
        </w:rPr>
        <w:t xml:space="preserve">Slurry coating. The wax tree is dipped in ceramic slurry, then drained.</w:t>
      </w:r>
    </w:p>
    <w:p>
      <w:pPr>
        <w:pStyle w:val="ListParagraph"/>
        <w:numPr>
          <w:ilvl w:val="0"/>
          <w:numId w:val="3"/>
        </w:numPr>
        <w:spacing w:after="40" w:before="40" w:line="280"/>
      </w:pPr>
      <w:r>
        <w:rPr>
          <w:rFonts w:ascii="Calibri" w:cs="Calibri" w:eastAsia="Calibri" w:hAnsi="Calibri"/>
          <w:color w:val="2C2C2C"/>
          <w:sz w:val="22"/>
          <w:szCs w:val="22"/>
        </w:rPr>
        <w:t xml:space="preserve">Stucco coating. The wet slurry is dusted with stucco grains to build up the ceramic shell. The assembly is dried and the slurry and stucco steps are repeated six to ten times to build the full shell.</w:t>
      </w:r>
    </w:p>
    <w:p>
      <w:pPr>
        <w:pStyle w:val="ListParagraph"/>
        <w:numPr>
          <w:ilvl w:val="0"/>
          <w:numId w:val="3"/>
        </w:numPr>
        <w:spacing w:after="40" w:before="40" w:line="280"/>
      </w:pPr>
      <w:r>
        <w:rPr>
          <w:rFonts w:ascii="Calibri" w:cs="Calibri" w:eastAsia="Calibri" w:hAnsi="Calibri"/>
          <w:color w:val="2C2C2C"/>
          <w:sz w:val="22"/>
          <w:szCs w:val="22"/>
        </w:rPr>
        <w:t xml:space="preserve">Dewax and bake. The shell is heated to melt out the wax and then fired to full ceramic strength.</w:t>
      </w:r>
    </w:p>
    <w:p>
      <w:pPr>
        <w:pStyle w:val="ListParagraph"/>
        <w:numPr>
          <w:ilvl w:val="0"/>
          <w:numId w:val="3"/>
        </w:numPr>
        <w:spacing w:after="40" w:before="40" w:line="280"/>
      </w:pPr>
      <w:r>
        <w:rPr>
          <w:rFonts w:ascii="Calibri" w:cs="Calibri" w:eastAsia="Calibri" w:hAnsi="Calibri"/>
          <w:color w:val="2C2C2C"/>
          <w:sz w:val="22"/>
          <w:szCs w:val="22"/>
        </w:rPr>
        <w:t xml:space="preserve">Metal pour and solidification. Molten nickel superalloy is vacuum induction melted and poured into the preheated shell. Solidification is controlled for the desired grain structure, whether equiaxed, directionally solidified, or single crystal.</w:t>
      </w:r>
    </w:p>
    <w:p>
      <w:pPr>
        <w:pStyle w:val="ListParagraph"/>
        <w:numPr>
          <w:ilvl w:val="0"/>
          <w:numId w:val="3"/>
        </w:numPr>
        <w:spacing w:after="40" w:before="40" w:line="280"/>
      </w:pPr>
      <w:r>
        <w:rPr>
          <w:rFonts w:ascii="Calibri" w:cs="Calibri" w:eastAsia="Calibri" w:hAnsi="Calibri"/>
          <w:color w:val="2C2C2C"/>
          <w:sz w:val="22"/>
          <w:szCs w:val="22"/>
        </w:rPr>
        <w:t xml:space="preserve">Finishing. The shell is knocked off. Core material is leached out with caustic. The gating system is removed. The part is hot isostatically pressed, heat treated, machined to final dimensions, nondestructively inspected, and qualified to the applicable specification.</w:t>
      </w:r>
    </w:p>
    <w:p>
      <w:pPr>
        <w:spacing w:after="16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B2A4A" w:sz="4"/>
              <w:left w:val="single" w:color="1B2A4A" w:sz="24"/>
              <w:bottom w:val="single" w:color="1B2A4A" w:sz="4"/>
              <w:right w:val="single" w:color="1B2A4A" w:sz="4"/>
            </w:tcBorders>
            <w:shd w:fill="D5E8F0" w:val="clear"/>
            <w:tcMar>
              <w:top w:type="dxa" w:w="180"/>
              <w:left w:type="dxa" w:w="240"/>
              <w:bottom w:type="dxa" w:w="180"/>
              <w:right w:type="dxa" w:w="240"/>
            </w:tcMar>
          </w:tcPr>
          <w:p>
            <w:pPr>
              <w:spacing w:after="80" w:before="80"/>
            </w:pPr>
            <w:r>
              <w:rPr>
                <w:rFonts w:ascii="Calibri" w:cs="Calibri" w:eastAsia="Calibri" w:hAnsi="Calibri"/>
                <w:b/>
                <w:bCs/>
                <w:color w:val="1B2A4A"/>
                <w:sz w:val="22"/>
                <w:szCs w:val="22"/>
              </w:rPr>
              <w:t xml:space="preserve">THE COST AND LEAD TIME STACK</w:t>
            </w:r>
          </w:p>
          <w:p>
            <w:pPr>
              <w:spacing w:after="40" w:before="40" w:line="280"/>
            </w:pPr>
            <w:r>
              <w:rPr>
                <w:rFonts w:ascii="Calibri" w:cs="Calibri" w:eastAsia="Calibri" w:hAnsi="Calibri"/>
                <w:color w:val="2C2C2C"/>
                <w:sz w:val="21"/>
                <w:szCs w:val="21"/>
              </w:rPr>
              <w:t xml:space="preserve">Each hard tool in the core and wax paths represents substantial capital investment and six to twelve months of lead time before the first part is available. The shell build cycle is labor intensive and time sensitive. Any change to blade geometry triggers new tooling, new qualification, and a significant restart of the lead time clock. The cumulative cost and lead time burden is the structural reason conventional casting cannot serve attritable programs at scale.</w:t>
            </w:r>
          </w:p>
        </w:tc>
      </w:tr>
    </w:tbl>
    <w:p>
      <w:pPr>
        <w:pStyle w:val="Heading2"/>
        <w:spacing w:after="140" w:before="300" w:line="300"/>
      </w:pPr>
      <w:r>
        <w:rPr>
          <w:rFonts w:ascii="Calibri" w:cs="Calibri" w:eastAsia="Calibri" w:hAnsi="Calibri"/>
          <w:b/>
          <w:bCs/>
          <w:color w:val="1B2A4A"/>
          <w:sz w:val="28"/>
          <w:szCs w:val="28"/>
        </w:rPr>
        <w:t xml:space="preserve">4.2 Typical Economics and Timelines</w:t>
      </w:r>
    </w:p>
    <w:p>
      <w:pPr>
        <w:spacing w:after="120" w:before="60" w:line="300"/>
        <w:jc w:val="both"/>
      </w:pPr>
      <w:r>
        <w:rPr>
          <w:rFonts w:ascii="Calibri" w:cs="Calibri" w:eastAsia="Calibri" w:hAnsi="Calibri"/>
          <w:b w:val="false"/>
          <w:bCs w:val="false"/>
          <w:i w:val="false"/>
          <w:iCs w:val="false"/>
          <w:color w:val="2C2C2C"/>
          <w:sz w:val="22"/>
          <w:szCs w:val="22"/>
        </w:rPr>
        <w:t xml:space="preserve">Representative production economics for a directionally solidified MAR-M247 microturbine airfoil through a conventional process are shown in the table below. These figures vary significantly by supplier, by specific part complexity, and by volume, but the orders of magnitude are representative of the domestic defense aerospace base.</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2340"/>
        <w:gridCol w:w="3900"/>
      </w:tblGrid>
      <w:tr>
        <w:trPr>
          <w:cantSplit/>
          <w:tblHeader/>
        </w:trPr>
        <w:tc>
          <w:tcPr>
            <w:tcW w:type="dxa" w:w="312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Parameter</w:t>
            </w:r>
          </w:p>
        </w:tc>
        <w:tc>
          <w:tcPr>
            <w:tcW w:type="dxa" w:w="234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Typical Value</w:t>
            </w:r>
          </w:p>
        </w:tc>
        <w:tc>
          <w:tcPr>
            <w:tcW w:type="dxa" w:w="390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Program Implication</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Hard tooling investment per blade design</w:t>
            </w:r>
          </w:p>
        </w:tc>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Substantial capital outlay</w:t>
            </w:r>
          </w:p>
        </w:tc>
        <w:tc>
          <w:tcPr>
            <w:tcW w:type="dxa" w:w="39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Barrier to low volume or rapidly iterating designs</w:t>
            </w:r>
          </w:p>
        </w:tc>
      </w:tr>
      <w:tr>
        <w:trPr>
          <w:cantSplit/>
        </w:trPr>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Tooling lead time</w:t>
            </w:r>
          </w:p>
        </w:tc>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6 to 12 months</w:t>
            </w:r>
          </w:p>
        </w:tc>
        <w:tc>
          <w:tcPr>
            <w:tcW w:type="dxa" w:w="390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Delay before first article is possible</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First article qualification timeline</w:t>
            </w:r>
          </w:p>
        </w:tc>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18 to 36 months</w:t>
            </w:r>
          </w:p>
        </w:tc>
        <w:tc>
          <w:tcPr>
            <w:tcW w:type="dxa" w:w="39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Incompatible with Replicator fielding timelines</w:t>
            </w:r>
          </w:p>
        </w:tc>
      </w:tr>
      <w:tr>
        <w:trPr>
          <w:cantSplit/>
        </w:trPr>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Delivered cost per-kilogram</w:t>
            </w:r>
          </w:p>
        </w:tc>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Premium aerospace pricing</w:t>
            </w:r>
          </w:p>
        </w:tc>
        <w:tc>
          <w:tcPr>
            <w:tcW w:type="dxa" w:w="390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Drives engine cost above attritable target</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Shell build cycle time</w:t>
            </w:r>
          </w:p>
        </w:tc>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7 to 14 days per assembly</w:t>
            </w:r>
          </w:p>
        </w:tc>
        <w:tc>
          <w:tcPr>
            <w:tcW w:type="dxa" w:w="39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Limits throughput per line</w:t>
            </w:r>
          </w:p>
        </w:tc>
      </w:tr>
      <w:tr>
        <w:trPr>
          <w:cantSplit/>
        </w:trPr>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Scrap and rework rate</w:t>
            </w:r>
          </w:p>
        </w:tc>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15 to 40 percent</w:t>
            </w:r>
          </w:p>
        </w:tc>
        <w:tc>
          <w:tcPr>
            <w:tcW w:type="dxa" w:w="390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Effective yield is a major cost driver</w:t>
            </w:r>
          </w:p>
        </w:tc>
      </w:tr>
    </w:tbl>
    <w:p>
      <w:pPr>
        <w:spacing w:after="200" w:before="0"/>
      </w:pPr>
      <w:r>
        <w:t xml:space="preserve"/>
      </w:r>
    </w:p>
    <w:p>
      <w:pPr>
        <w:pStyle w:val="Heading2"/>
        <w:spacing w:after="140" w:before="300" w:line="300"/>
      </w:pPr>
      <w:r>
        <w:rPr>
          <w:rFonts w:ascii="Calibri" w:cs="Calibri" w:eastAsia="Calibri" w:hAnsi="Calibri"/>
          <w:b/>
          <w:bCs/>
          <w:color w:val="1B2A4A"/>
          <w:sz w:val="28"/>
          <w:szCs w:val="28"/>
        </w:rPr>
        <w:t xml:space="preserve">4.3 Supply Chain Fragility</w:t>
      </w:r>
    </w:p>
    <w:p>
      <w:pPr>
        <w:spacing w:after="120" w:before="60" w:line="300"/>
        <w:jc w:val="both"/>
      </w:pPr>
      <w:r>
        <w:rPr>
          <w:rFonts w:ascii="Calibri" w:cs="Calibri" w:eastAsia="Calibri" w:hAnsi="Calibri"/>
          <w:b w:val="false"/>
          <w:bCs w:val="false"/>
          <w:i w:val="false"/>
          <w:iCs w:val="false"/>
          <w:color w:val="2C2C2C"/>
          <w:sz w:val="22"/>
          <w:szCs w:val="22"/>
        </w:rPr>
        <w:t xml:space="preserve">The economics above assume a functioning supply chain. The reality is that the U.S. ceramic shell material supply chain has become fragile. Specialty silica and zircon flours, binder resins, and stucco sands are concentrated in a small number of suppliers, several of which have faced quality and capacity challenges over the past five years. Domestic ceramic core production is similarly concentrated. Any disruption at these upstream nodes cascades immediately into foundry production.</w:t>
      </w:r>
    </w:p>
    <w:p>
      <w:pPr>
        <w:spacing w:after="120" w:before="60" w:line="300"/>
        <w:jc w:val="both"/>
      </w:pPr>
      <w:r>
        <w:rPr>
          <w:rFonts w:ascii="Calibri" w:cs="Calibri" w:eastAsia="Calibri" w:hAnsi="Calibri"/>
          <w:b w:val="false"/>
          <w:bCs w:val="false"/>
          <w:i w:val="false"/>
          <w:iCs w:val="false"/>
          <w:color w:val="2C2C2C"/>
          <w:sz w:val="22"/>
          <w:szCs w:val="22"/>
        </w:rPr>
        <w:t xml:space="preserve">Hot isostatic pressing, the densification step that closes internal porosity and is essential for the fatigue performance of cast superalloy blades, is also capacity constrained. Large diameter industrial presses are few in number, and scheduling them requires weeks of lead time. Nondestructive inspection capacity, including digital radiography and computed tomography of complex hollow blades, is another pinch point.</w:t>
      </w:r>
    </w:p>
    <w:p>
      <w:pPr>
        <w:spacing w:after="120" w:before="60" w:line="300"/>
        <w:jc w:val="both"/>
      </w:pPr>
      <w:r>
        <w:rPr>
          <w:rFonts w:ascii="Calibri" w:cs="Calibri" w:eastAsia="Calibri" w:hAnsi="Calibri"/>
          <w:b w:val="false"/>
          <w:bCs w:val="false"/>
          <w:i w:val="false"/>
          <w:iCs w:val="false"/>
          <w:color w:val="2C2C2C"/>
          <w:sz w:val="22"/>
          <w:szCs w:val="22"/>
        </w:rPr>
        <w:t xml:space="preserve">None of these constraints is impossible to solve, and several programs are working to expand domestic capacity in the relevant areas. But they constitute a second layer of fragility that is masked when the headline discussion focuses only on foundry capacity. A Replicator-aligned capacity expansion must address the ceramic material supply chain, the HIP capacity, and the inspection capacity in parallel with the casting capacity itself.</w:t>
      </w:r>
    </w:p>
    <w:p>
      <w:pPr>
        <w:pStyle w:val="Heading2"/>
        <w:spacing w:after="140" w:before="300" w:line="300"/>
      </w:pPr>
      <w:r>
        <w:rPr>
          <w:rFonts w:ascii="Calibri" w:cs="Calibri" w:eastAsia="Calibri" w:hAnsi="Calibri"/>
          <w:b/>
          <w:bCs/>
          <w:color w:val="1B2A4A"/>
          <w:sz w:val="28"/>
          <w:szCs w:val="28"/>
        </w:rPr>
        <w:t xml:space="preserve">4.4 Why the Process Cannot Simply Be Scaled</w:t>
      </w:r>
    </w:p>
    <w:p>
      <w:pPr>
        <w:spacing w:after="120" w:before="60" w:line="300"/>
        <w:jc w:val="both"/>
      </w:pPr>
      <w:r>
        <w:rPr>
          <w:rFonts w:ascii="Calibri" w:cs="Calibri" w:eastAsia="Calibri" w:hAnsi="Calibri"/>
          <w:b w:val="false"/>
          <w:bCs w:val="false"/>
          <w:i w:val="false"/>
          <w:iCs w:val="false"/>
          <w:color w:val="2C2C2C"/>
          <w:sz w:val="22"/>
          <w:szCs w:val="22"/>
        </w:rPr>
        <w:t xml:space="preserve">The instinct of an acquisition professional faced with a capacity gap is to buy more of what already works. In the case of conventional investment casting, this instinct is only partially correct. Additional capacity at existing suppliers is useful and should be pursued, but it cannot close the full gap because the process itself carries structural limits that more capacity cannot remove.</w:t>
      </w:r>
    </w:p>
    <w:p>
      <w:pPr>
        <w:spacing w:after="120" w:before="60" w:line="300"/>
        <w:jc w:val="both"/>
      </w:pPr>
      <w:r>
        <w:rPr>
          <w:rFonts w:ascii="Calibri" w:cs="Calibri" w:eastAsia="Calibri" w:hAnsi="Calibri"/>
          <w:b w:val="false"/>
          <w:bCs w:val="false"/>
          <w:i w:val="false"/>
          <w:iCs w:val="false"/>
          <w:color w:val="2C2C2C"/>
          <w:sz w:val="22"/>
          <w:szCs w:val="22"/>
        </w:rPr>
        <w:t xml:space="preserve">The first limit is tooling. A new blade design requires new tooling, which delays first article availability by six to twelve months regardless of foundry throughput. Any program that expects to iterate rapidly on blade geometry, as many attritable programs do, is misaligned with this constraint.</w:t>
      </w:r>
    </w:p>
    <w:p>
      <w:pPr>
        <w:spacing w:after="120" w:before="60" w:line="300"/>
        <w:jc w:val="both"/>
      </w:pPr>
      <w:r>
        <w:rPr>
          <w:rFonts w:ascii="Calibri" w:cs="Calibri" w:eastAsia="Calibri" w:hAnsi="Calibri"/>
          <w:b w:val="false"/>
          <w:bCs w:val="false"/>
          <w:i w:val="false"/>
          <w:iCs w:val="false"/>
          <w:color w:val="2C2C2C"/>
          <w:sz w:val="22"/>
          <w:szCs w:val="22"/>
        </w:rPr>
        <w:t xml:space="preserve">The second limit is the shell build cycle. The labor intensity of wax pattern assembly, slurry dipping, and stucco application is structural. It cannot be automated away without fundamentally changing the process. Throughput per line is set by shell build, and shell build is set by physics.</w:t>
      </w:r>
    </w:p>
    <w:p>
      <w:pPr>
        <w:spacing w:after="120" w:before="60" w:line="300"/>
        <w:jc w:val="both"/>
      </w:pPr>
      <w:r>
        <w:rPr>
          <w:rFonts w:ascii="Calibri" w:cs="Calibri" w:eastAsia="Calibri" w:hAnsi="Calibri"/>
          <w:b w:val="false"/>
          <w:bCs w:val="false"/>
          <w:i w:val="false"/>
          <w:iCs w:val="false"/>
          <w:color w:val="2C2C2C"/>
          <w:sz w:val="22"/>
          <w:szCs w:val="22"/>
        </w:rPr>
        <w:t xml:space="preserve">The third limit is scrap. A conventional investment casting line typically runs at scrap rates between fifteen and forty percent. Every scrap event consumes ceramic shell material, wax, and foundry time, and yields no saleable part. The cumulative scrap cost is often as large as the direct production cost of the good parts.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B2A4A" w:sz="4"/>
              <w:left w:val="single" w:color="1B2A4A" w:sz="24"/>
              <w:bottom w:val="single" w:color="1B2A4A" w:sz="4"/>
              <w:right w:val="single" w:color="1B2A4A" w:sz="4"/>
            </w:tcBorders>
            <w:shd w:fill="D5E8F0" w:val="clear"/>
            <w:tcMar>
              <w:top w:type="dxa" w:w="180"/>
              <w:left w:type="dxa" w:w="240"/>
              <w:bottom w:type="dxa" w:w="180"/>
              <w:right w:type="dxa" w:w="240"/>
            </w:tcMar>
          </w:tcPr>
          <w:p>
            <w:pPr>
              <w:spacing w:after="80" w:before="80"/>
            </w:pPr>
            <w:r>
              <w:rPr>
                <w:rFonts w:ascii="Calibri" w:cs="Calibri" w:eastAsia="Calibri" w:hAnsi="Calibri"/>
                <w:b/>
                <w:bCs/>
                <w:color w:val="1B2A4A"/>
                <w:sz w:val="22"/>
                <w:szCs w:val="22"/>
              </w:rPr>
              <w:t xml:space="preserve">THE STRUCTURAL CONCLUSION</w:t>
            </w:r>
          </w:p>
          <w:p>
            <w:pPr>
              <w:spacing w:after="40" w:before="40" w:line="280"/>
            </w:pPr>
            <w:r>
              <w:rPr>
                <w:rFonts w:ascii="Calibri" w:cs="Calibri" w:eastAsia="Calibri" w:hAnsi="Calibri"/>
                <w:b/>
                <w:bCs/>
                <w:i w:val="false"/>
                <w:iCs w:val="false"/>
                <w:color w:val="1B2A4A"/>
                <w:sz w:val="21"/>
                <w:szCs w:val="21"/>
              </w:rPr>
              <w:t xml:space="preserve">The conventional process cannot be scaled to Replicator volumes at Replicator prices. </w:t>
            </w:r>
            <w:r>
              <w:rPr>
                <w:rFonts w:ascii="Calibri" w:cs="Calibri" w:eastAsia="Calibri" w:hAnsi="Calibri"/>
                <w:b w:val="false"/>
                <w:bCs w:val="false"/>
                <w:i w:val="false"/>
                <w:iCs w:val="false"/>
                <w:color w:val="2C2C2C"/>
                <w:sz w:val="21"/>
                <w:szCs w:val="21"/>
              </w:rPr>
              <w:t xml:space="preserve">Additional capacity at existing suppliers will help marginally, but it cannot change the underlying cost, lead time, and scrap characteristics of the conventional approach. A different process is required for the attritable microturbine segment specifically, while conventional casting continues to serve commercial and exquisite defense aviation.</w:t>
            </w:r>
          </w:p>
        </w:tc>
      </w:tr>
    </w:tbl>
    <w:p>
      <w:pPr>
        <w:pStyle w:val="Heading2"/>
        <w:spacing w:after="140" w:before="300" w:line="300"/>
      </w:pPr>
      <w:r>
        <w:rPr>
          <w:rFonts w:ascii="Calibri" w:cs="Calibri" w:eastAsia="Calibri" w:hAnsi="Calibri"/>
          <w:b/>
          <w:bCs/>
          <w:color w:val="1B2A4A"/>
          <w:sz w:val="28"/>
          <w:szCs w:val="28"/>
        </w:rPr>
        <w:t xml:space="preserve">4.5 The Digital Alternative Previewed</w:t>
      </w:r>
    </w:p>
    <w:p>
      <w:pPr>
        <w:spacing w:after="120" w:before="60" w:line="300"/>
        <w:jc w:val="both"/>
      </w:pPr>
      <w:r>
        <w:rPr>
          <w:rFonts w:ascii="Calibri" w:cs="Calibri" w:eastAsia="Calibri" w:hAnsi="Calibri"/>
          <w:b w:val="false"/>
          <w:bCs w:val="false"/>
          <w:i w:val="false"/>
          <w:iCs w:val="false"/>
          <w:color w:val="2C2C2C"/>
          <w:sz w:val="22"/>
          <w:szCs w:val="22"/>
        </w:rPr>
        <w:t xml:space="preserve">Sections 9 and 10 of this paper describe the digital investment casting approach in depth. For continuity, it is worth previewing the key substitutions that the digital approach makes to the conventional process. Hard tooling for cores and wax patterns is replaced by additive ceramic three-dimensional printing of a monolithic shell with integrated cores. The wax pattern step is eliminated entirely. The slurry and stucco build cycle is replaced by a digital layer-by-layer build. The process carries a digital birth certificate from start to finish, which shortens qualification and enables statistical process control at a level that paper-based records cannot achieve.</w:t>
      </w:r>
    </w:p>
    <w:p>
      <w:pPr>
        <w:spacing w:after="120" w:before="60" w:line="300"/>
        <w:jc w:val="both"/>
      </w:pPr>
      <w:r>
        <w:rPr>
          <w:rFonts w:ascii="Calibri" w:cs="Calibri" w:eastAsia="Calibri" w:hAnsi="Calibri"/>
          <w:b w:val="false"/>
          <w:bCs w:val="false"/>
          <w:i w:val="false"/>
          <w:iCs w:val="false"/>
          <w:color w:val="2C2C2C"/>
          <w:sz w:val="22"/>
          <w:szCs w:val="22"/>
        </w:rPr>
        <w:t xml:space="preserve">The result is a process that retains the metallurgy of conventional investment casting, vacuum induction melting, directional solidification, controlled cooling, hot isostatic pressing, and heat treatment, while replacing the cost, lead time, and scrap drivers of the conventional shell build. It is not a replacement of the foundry. It is an acceleration of the foundry.</w:t>
      </w:r>
    </w:p>
    <w:p>
      <w:pPr>
        <w:pageBreakBefore/>
        <w:spacing w:after="60" w:before="200"/>
      </w:pPr>
      <w:r>
        <w:rPr>
          <w:rFonts w:ascii="Calibri" w:cs="Calibri" w:eastAsia="Calibri" w:hAnsi="Calibri"/>
          <w:b/>
          <w:bCs/>
          <w:color w:val="2E5C8A"/>
          <w:sz w:val="18"/>
          <w:szCs w:val="18"/>
        </w:rPr>
        <w:t xml:space="preserve">SECTION 5</w:t>
      </w:r>
    </w:p>
    <w:p>
      <w:pPr>
        <w:pStyle w:val="Heading1"/>
        <w:spacing w:after="200" w:before="400" w:line="300"/>
      </w:pPr>
      <w:r>
        <w:rPr>
          <w:rFonts w:ascii="Calibri" w:cs="Calibri" w:eastAsia="Calibri" w:hAnsi="Calibri"/>
          <w:b/>
          <w:bCs/>
          <w:color w:val="1B2A4A"/>
          <w:sz w:val="36"/>
          <w:szCs w:val="36"/>
        </w:rPr>
        <w:t xml:space="preserve">The Replicator Initiative</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The Replicator initiative is the single most important programmatic context for this paper. It is the instrument through which the Department of War has committed to fielding attritable autonomous systems at scale, and it is the instrument that has translated a doctrinal shift into a multiyear budgetary signal that the industrial base can act on. This section surveys Replicator's origin, its authorities, its current state, and its implications for the propulsion industrial base.</w:t>
      </w:r>
    </w:p>
    <w:p>
      <w:pPr>
        <w:pStyle w:val="Heading2"/>
        <w:spacing w:after="140" w:before="300" w:line="300"/>
      </w:pPr>
      <w:r>
        <w:rPr>
          <w:rFonts w:ascii="Calibri" w:cs="Calibri" w:eastAsia="Calibri" w:hAnsi="Calibri"/>
          <w:b/>
          <w:bCs/>
          <w:color w:val="1B2A4A"/>
          <w:sz w:val="28"/>
          <w:szCs w:val="28"/>
        </w:rPr>
        <w:t xml:space="preserve">5.1 Origin and Mandate</w:t>
      </w:r>
    </w:p>
    <w:p>
      <w:pPr>
        <w:spacing w:after="120" w:before="60" w:line="300"/>
        <w:jc w:val="both"/>
      </w:pPr>
      <w:r>
        <w:rPr>
          <w:rFonts w:ascii="Calibri" w:cs="Calibri" w:eastAsia="Calibri" w:hAnsi="Calibri"/>
          <w:b w:val="false"/>
          <w:bCs w:val="false"/>
          <w:i w:val="false"/>
          <w:iCs w:val="false"/>
          <w:color w:val="2C2C2C"/>
          <w:sz w:val="22"/>
          <w:szCs w:val="22"/>
        </w:rPr>
        <w:t xml:space="preserve">Replicator was announced by Deputy Secretary of Defense Kathleen Hicks at the Association of the United States Army annual meeting on August 28, 2023. The initiative committed the Department of Defense to fielding thousands of attritable autonomous systems within eighteen to twenty four months, spanning air, maritime surface, and undersea domains. The language of the announcement was deliberate. Attritable, not just unmanned. Thousands, not dozens. Within two years, not within a decade.</w:t>
      </w:r>
    </w:p>
    <w:p>
      <w:pPr>
        <w:spacing w:after="120" w:before="60" w:line="300"/>
        <w:jc w:val="both"/>
      </w:pPr>
      <w:r>
        <w:rPr>
          <w:rFonts w:ascii="Calibri" w:cs="Calibri" w:eastAsia="Calibri" w:hAnsi="Calibri"/>
          <w:b w:val="false"/>
          <w:bCs w:val="false"/>
          <w:i w:val="false"/>
          <w:iCs w:val="false"/>
          <w:color w:val="2C2C2C"/>
          <w:sz w:val="22"/>
          <w:szCs w:val="22"/>
        </w:rPr>
        <w:t xml:space="preserve">Two features of the Replicator announcement are worth underscoring. The first is that Replicator does not introduce new legal authorities. It leverages existing authorities, routing funding through the Defense Innovation Unit, Other Transaction Agreements, rapid acquisition pathways, and the national security industrial base cooperative. The second is that Replicator explicitly contemplates relaxed qualification standards for expendable systems. Both features remove bureaucratic friction that has historically prevented scale.</w:t>
      </w:r>
    </w:p>
    <w:p>
      <w:pPr>
        <w:pStyle w:val="Heading2"/>
        <w:spacing w:after="140" w:before="300" w:line="300"/>
      </w:pPr>
      <w:r>
        <w:rPr>
          <w:rFonts w:ascii="Calibri" w:cs="Calibri" w:eastAsia="Calibri" w:hAnsi="Calibri"/>
          <w:b/>
          <w:bCs/>
          <w:color w:val="1B2A4A"/>
          <w:sz w:val="28"/>
          <w:szCs w:val="28"/>
        </w:rPr>
        <w:t xml:space="preserve">5.2 Funding and Obligations to Date</w:t>
      </w:r>
    </w:p>
    <w:p>
      <w:pPr>
        <w:spacing w:after="120" w:before="60" w:line="300"/>
        <w:jc w:val="both"/>
      </w:pPr>
      <w:r>
        <w:rPr>
          <w:rFonts w:ascii="Calibri" w:cs="Calibri" w:eastAsia="Calibri" w:hAnsi="Calibri"/>
          <w:b w:val="false"/>
          <w:bCs w:val="false"/>
          <w:i w:val="false"/>
          <w:iCs w:val="false"/>
          <w:color w:val="2C2C2C"/>
          <w:sz w:val="22"/>
          <w:szCs w:val="22"/>
        </w:rPr>
        <w:t xml:space="preserve">Publicly available information indicates that substantial funding was committed across fiscal years 2024 and 2025 to Replicator 1, divided across two principal tranches. Tranche 1.1 focused on offensive attritable systems, including loitering munitions and strike drones. Tranche 1.2 focused on autonomy software and maritime platforms. Continuation funding into fiscal year 2026 has been confirmed, and the budget authority underlying Replicator is supported in the current fiscal year 2026 appropriations process.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600"/>
        <w:gridCol w:w="3760"/>
        <w:gridCol w:w="4000"/>
      </w:tblGrid>
      <w:tr>
        <w:trPr>
          <w:cantSplit/>
          <w:tblHeader/>
        </w:trPr>
        <w:tc>
          <w:tcPr>
            <w:tcW w:type="dxa" w:w="160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Date</w:t>
            </w:r>
          </w:p>
        </w:tc>
        <w:tc>
          <w:tcPr>
            <w:tcW w:type="dxa" w:w="376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Milestone</w:t>
            </w:r>
          </w:p>
        </w:tc>
        <w:tc>
          <w:tcPr>
            <w:tcW w:type="dxa" w:w="400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Strategic Significance</w:t>
            </w:r>
          </w:p>
        </w:tc>
      </w:tr>
      <w:tr>
        <w:trPr>
          <w:cantSplit/>
        </w:trPr>
        <w:tc>
          <w:tcPr>
            <w:tcW w:type="dxa" w:w="16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August 2023</w:t>
            </w:r>
          </w:p>
        </w:tc>
        <w:tc>
          <w:tcPr>
            <w:tcW w:type="dxa" w:w="376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Replicator 1 announced at AUSA</w:t>
            </w:r>
          </w:p>
        </w:tc>
        <w:tc>
          <w:tcPr>
            <w:tcW w:type="dxa" w:w="40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Formal commitment to attritable autonomy at scale</w:t>
            </w:r>
          </w:p>
        </w:tc>
      </w:tr>
      <w:tr>
        <w:trPr>
          <w:cantSplit/>
        </w:trPr>
        <w:tc>
          <w:tcPr>
            <w:tcW w:type="dxa" w:w="160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FY2024 to FY2025</w:t>
            </w:r>
          </w:p>
        </w:tc>
        <w:tc>
          <w:tcPr>
            <w:tcW w:type="dxa" w:w="376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Substantial funding obligated across Tranches 1.1 and 1.2</w:t>
            </w:r>
          </w:p>
        </w:tc>
        <w:tc>
          <w:tcPr>
            <w:tcW w:type="dxa" w:w="400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Concrete budget signal to industrial base</w:t>
            </w:r>
          </w:p>
        </w:tc>
      </w:tr>
      <w:tr>
        <w:trPr>
          <w:cantSplit/>
        </w:trPr>
        <w:tc>
          <w:tcPr>
            <w:tcW w:type="dxa" w:w="16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September 2024</w:t>
            </w:r>
          </w:p>
        </w:tc>
        <w:tc>
          <w:tcPr>
            <w:tcW w:type="dxa" w:w="376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Replicator 2 announced via SecDef Austin memo</w:t>
            </w:r>
          </w:p>
        </w:tc>
        <w:tc>
          <w:tcPr>
            <w:tcW w:type="dxa" w:w="40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Expansion to counter small UAS</w:t>
            </w:r>
          </w:p>
        </w:tc>
      </w:tr>
      <w:tr>
        <w:trPr>
          <w:cantSplit/>
        </w:trPr>
        <w:tc>
          <w:tcPr>
            <w:tcW w:type="dxa" w:w="160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August 2025</w:t>
            </w:r>
          </w:p>
        </w:tc>
        <w:tc>
          <w:tcPr>
            <w:tcW w:type="dxa" w:w="376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Consolidation under JIATF 401</w:t>
            </w:r>
          </w:p>
        </w:tc>
        <w:tc>
          <w:tcPr>
            <w:tcW w:type="dxa" w:w="400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Streamlined contracting and acquisition authorities</w:t>
            </w:r>
          </w:p>
        </w:tc>
      </w:tr>
      <w:tr>
        <w:trPr>
          <w:cantSplit/>
        </w:trPr>
        <w:tc>
          <w:tcPr>
            <w:tcW w:type="dxa" w:w="16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January 2026</w:t>
            </w:r>
          </w:p>
        </w:tc>
        <w:tc>
          <w:tcPr>
            <w:tcW w:type="dxa" w:w="376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DroneHunter F700 interceptor contracts awarded</w:t>
            </w:r>
          </w:p>
        </w:tc>
        <w:tc>
          <w:tcPr>
            <w:tcW w:type="dxa" w:w="40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First Replicator 2 platform under contract</w:t>
            </w:r>
          </w:p>
        </w:tc>
      </w:tr>
      <w:tr>
        <w:trPr>
          <w:cantSplit/>
        </w:trPr>
        <w:tc>
          <w:tcPr>
            <w:tcW w:type="dxa" w:w="160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April 2026</w:t>
            </w:r>
          </w:p>
        </w:tc>
        <w:tc>
          <w:tcPr>
            <w:tcW w:type="dxa" w:w="376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Initial DroneHunter deliveries expected</w:t>
            </w:r>
          </w:p>
        </w:tc>
        <w:tc>
          <w:tcPr>
            <w:tcW w:type="dxa" w:w="400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First Replicator 2 fielded capability</w:t>
            </w:r>
          </w:p>
        </w:tc>
      </w:tr>
      <w:tr>
        <w:trPr>
          <w:cantSplit/>
        </w:trPr>
        <w:tc>
          <w:tcPr>
            <w:tcW w:type="dxa" w:w="16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FY2026 to FY2028</w:t>
            </w:r>
          </w:p>
        </w:tc>
        <w:tc>
          <w:tcPr>
            <w:tcW w:type="dxa" w:w="376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Continuation funding through at least FY2028</w:t>
            </w:r>
          </w:p>
        </w:tc>
        <w:tc>
          <w:tcPr>
            <w:tcW w:type="dxa" w:w="40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Multi year demand signal confirmed</w:t>
            </w:r>
          </w:p>
        </w:tc>
      </w:tr>
    </w:tbl>
    <w:p>
      <w:pPr>
        <w:spacing w:after="200" w:before="0"/>
      </w:pPr>
      <w:r>
        <w:t xml:space="preserve"/>
      </w:r>
    </w:p>
    <w:p>
      <w:pPr>
        <w:pStyle w:val="Heading2"/>
        <w:spacing w:after="140" w:before="300" w:line="300"/>
      </w:pPr>
      <w:r>
        <w:rPr>
          <w:rFonts w:ascii="Calibri" w:cs="Calibri" w:eastAsia="Calibri" w:hAnsi="Calibri"/>
          <w:b/>
          <w:bCs/>
          <w:color w:val="1B2A4A"/>
          <w:sz w:val="28"/>
          <w:szCs w:val="28"/>
        </w:rPr>
        <w:t xml:space="preserve">5.3 Why Replicator Changes the Industrial Base Calculus</w:t>
      </w:r>
    </w:p>
    <w:p>
      <w:pPr>
        <w:spacing w:after="120" w:before="60" w:line="300"/>
        <w:jc w:val="both"/>
      </w:pPr>
      <w:r>
        <w:rPr>
          <w:rFonts w:ascii="Calibri" w:cs="Calibri" w:eastAsia="Calibri" w:hAnsi="Calibri"/>
          <w:b w:val="false"/>
          <w:bCs w:val="false"/>
          <w:i w:val="false"/>
          <w:iCs w:val="false"/>
          <w:color w:val="2C2C2C"/>
          <w:sz w:val="22"/>
          <w:szCs w:val="22"/>
        </w:rPr>
        <w:t xml:space="preserve">Defense industrial base decisions are driven by demand signals. A single program of record, no matter how large, often does not support a dedicated capacity investment. An industrial policy that touches multiple programs across multiple years does. Replicator is the latter. It is not one program. It is an architecture that channels funding across a portfolio of programs, all of which share the characteristic of requiring attritable autonomous systems in volume.</w:t>
      </w:r>
    </w:p>
    <w:p>
      <w:pPr>
        <w:spacing w:after="120" w:before="60" w:line="300"/>
        <w:jc w:val="both"/>
      </w:pPr>
      <w:r>
        <w:rPr>
          <w:rFonts w:ascii="Calibri" w:cs="Calibri" w:eastAsia="Calibri" w:hAnsi="Calibri"/>
          <w:b w:val="false"/>
          <w:bCs w:val="false"/>
          <w:i w:val="false"/>
          <w:iCs w:val="false"/>
          <w:color w:val="2C2C2C"/>
          <w:sz w:val="22"/>
          <w:szCs w:val="22"/>
        </w:rPr>
        <w:t xml:space="preserve">From a capital allocation standpoint, this changes the question an investor or an OEM must answer. Rather than will this specific program support the Capex of a new facility, the question becomes, will the aggregate attritable autonomy portfolio support the Capex? The answer is far more likely to be yes, and the associated risk-adjusted return is far more attractive.</w:t>
      </w:r>
    </w:p>
    <w:p>
      <w:pPr>
        <w:pStyle w:val="Heading2"/>
        <w:spacing w:after="140" w:before="300" w:line="300"/>
      </w:pPr>
      <w:r>
        <w:rPr>
          <w:rFonts w:ascii="Calibri" w:cs="Calibri" w:eastAsia="Calibri" w:hAnsi="Calibri"/>
          <w:b/>
          <w:bCs/>
          <w:color w:val="1B2A4A"/>
          <w:sz w:val="28"/>
          <w:szCs w:val="28"/>
        </w:rPr>
        <w:t xml:space="preserve">5.4 The Propulsion Cut Across Replicator</w:t>
      </w:r>
    </w:p>
    <w:p>
      <w:pPr>
        <w:spacing w:after="120" w:before="60" w:line="300"/>
        <w:jc w:val="both"/>
      </w:pPr>
      <w:r>
        <w:rPr>
          <w:rFonts w:ascii="Calibri" w:cs="Calibri" w:eastAsia="Calibri" w:hAnsi="Calibri"/>
          <w:b w:val="false"/>
          <w:bCs w:val="false"/>
          <w:i w:val="false"/>
          <w:iCs w:val="false"/>
          <w:color w:val="2C2C2C"/>
          <w:sz w:val="22"/>
          <w:szCs w:val="22"/>
        </w:rPr>
        <w:t xml:space="preserve">Not every Replicator platform uses a turbine engine. Many group one and group two platforms are propeller-driven with electric or small piston powerplants. But the high-value, high-performance tier of attritable platforms, the loitering munitions, the strike drones, the high-speed interceptors, and the next-generation counter small UAS engagements are overwhelmingly turbine-powered. Within that tier, the cast nickel superalloy airfoil is the propulsion bottleneck.</w:t>
      </w:r>
    </w:p>
    <w:p>
      <w:pPr>
        <w:spacing w:after="120" w:before="60" w:line="300"/>
        <w:jc w:val="both"/>
      </w:pPr>
      <w:r>
        <w:rPr>
          <w:rFonts w:ascii="Calibri" w:cs="Calibri" w:eastAsia="Calibri" w:hAnsi="Calibri"/>
          <w:b w:val="false"/>
          <w:bCs w:val="false"/>
          <w:i w:val="false"/>
          <w:iCs w:val="false"/>
          <w:color w:val="2C2C2C"/>
          <w:sz w:val="22"/>
          <w:szCs w:val="22"/>
        </w:rPr>
        <w:t xml:space="preserve">A conservative estimate based on publicly reported program volumes suggests that the combined Replicator 1 and Replicator 2 demand for turbine-powered platforms, across all services and across the Replicator funding horizon, implies blade demand in the thousands per month range at full rate. This is a multiple of current U.S. attritable microturbine blade production, and it does not include the continuing commercial aviation, industrial gas turbine, and exquisite defense aviation demand on the same casting base.</w:t>
      </w:r>
    </w:p>
    <w:p>
      <w:pPr>
        <w:spacing w:after="16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B2A4A" w:sz="4"/>
              <w:left w:val="single" w:color="1B2A4A" w:sz="24"/>
              <w:bottom w:val="single" w:color="1B2A4A" w:sz="4"/>
              <w:right w:val="single" w:color="1B2A4A" w:sz="4"/>
            </w:tcBorders>
            <w:shd w:fill="D5E8F0" w:val="clear"/>
            <w:tcMar>
              <w:top w:type="dxa" w:w="180"/>
              <w:left w:type="dxa" w:w="240"/>
              <w:bottom w:type="dxa" w:w="180"/>
              <w:right w:type="dxa" w:w="240"/>
            </w:tcMar>
          </w:tcPr>
          <w:p>
            <w:pPr>
              <w:spacing w:after="80" w:before="80"/>
            </w:pPr>
            <w:r>
              <w:rPr>
                <w:rFonts w:ascii="Calibri" w:cs="Calibri" w:eastAsia="Calibri" w:hAnsi="Calibri"/>
                <w:b/>
                <w:bCs/>
                <w:color w:val="1B2A4A"/>
                <w:sz w:val="22"/>
                <w:szCs w:val="22"/>
              </w:rPr>
              <w:t xml:space="preserve">THE REPLICATOR DEMAND SIGNAL IS VALIDATED</w:t>
            </w:r>
          </w:p>
          <w:p>
            <w:pPr>
              <w:spacing w:after="40" w:before="40" w:line="280"/>
            </w:pPr>
            <w:r>
              <w:rPr>
                <w:rFonts w:ascii="Calibri" w:cs="Calibri" w:eastAsia="Calibri" w:hAnsi="Calibri"/>
                <w:color w:val="2C2C2C"/>
                <w:sz w:val="21"/>
                <w:szCs w:val="21"/>
              </w:rPr>
              <w:t xml:space="preserve">Replicator is not a theoretical demand. It is a budgeted, contracted, multi-year, multi-program industrial policy that the U.S. government has formally committed to. It creates the exact type of demand signal that justifies capital investment in new manufacturing capacity. The question is not whether the demand exists. The question is whether the industrial base will respond in time.</w:t>
            </w:r>
          </w:p>
        </w:tc>
      </w:tr>
    </w:tbl>
    <w:p>
      <w:pPr>
        <w:pStyle w:val="Heading2"/>
        <w:spacing w:after="140" w:before="300" w:line="300"/>
      </w:pPr>
      <w:r>
        <w:rPr>
          <w:rFonts w:ascii="Calibri" w:cs="Calibri" w:eastAsia="Calibri" w:hAnsi="Calibri"/>
          <w:b/>
          <w:bCs/>
          <w:color w:val="1B2A4A"/>
          <w:sz w:val="28"/>
          <w:szCs w:val="28"/>
        </w:rPr>
        <w:t xml:space="preserve">5.5 A Note on Timing</w:t>
      </w:r>
    </w:p>
    <w:p>
      <w:pPr>
        <w:spacing w:after="120" w:before="60" w:line="300"/>
        <w:jc w:val="both"/>
      </w:pPr>
      <w:r>
        <w:rPr>
          <w:rFonts w:ascii="Calibri" w:cs="Calibri" w:eastAsia="Calibri" w:hAnsi="Calibri"/>
          <w:b w:val="false"/>
          <w:bCs w:val="false"/>
          <w:i w:val="false"/>
          <w:iCs w:val="false"/>
          <w:color w:val="2C2C2C"/>
          <w:sz w:val="22"/>
          <w:szCs w:val="22"/>
        </w:rPr>
        <w:t xml:space="preserve">The Replicator authority is active and funded, but the window in which a domestic propulsion response can still be meaningful is narrow. A facility obligated in late fiscal year 2026 or fiscal year 2027 can reach initial operating capacity in 2029, in time to support the middle period of Replicator deliveries. A facility that slips by another year reaches initial operating capacity in 2030, by which time a significant share of the Replicator portfolio has either sourced propulsion abroad or accepted a performance compromise.</w:t>
      </w:r>
    </w:p>
    <w:p>
      <w:pPr>
        <w:spacing w:after="120" w:before="60" w:line="300"/>
        <w:jc w:val="both"/>
      </w:pPr>
      <w:r>
        <w:rPr>
          <w:rFonts w:ascii="Calibri" w:cs="Calibri" w:eastAsia="Calibri" w:hAnsi="Calibri"/>
          <w:b w:val="false"/>
          <w:bCs w:val="false"/>
          <w:i w:val="false"/>
          <w:iCs w:val="false"/>
          <w:color w:val="2C2C2C"/>
          <w:sz w:val="22"/>
          <w:szCs w:val="22"/>
        </w:rPr>
        <w:t xml:space="preserve">This is the operational reason the paper argues for obligation in late fiscal year 2026 or fiscal year 2027. The argument is not that a later investment is impossible. It is that a later investment is less strategically valuable.</w:t>
      </w:r>
    </w:p>
    <w:p>
      <w:pPr>
        <w:pageBreakBefore/>
        <w:spacing w:after="60" w:before="200"/>
      </w:pPr>
      <w:r>
        <w:rPr>
          <w:rFonts w:ascii="Calibri" w:cs="Calibri" w:eastAsia="Calibri" w:hAnsi="Calibri"/>
          <w:b/>
          <w:bCs/>
          <w:color w:val="2E5C8A"/>
          <w:sz w:val="18"/>
          <w:szCs w:val="18"/>
        </w:rPr>
        <w:t xml:space="preserve">SECTION 6</w:t>
      </w:r>
    </w:p>
    <w:p>
      <w:pPr>
        <w:pStyle w:val="Heading1"/>
        <w:spacing w:after="200" w:before="400" w:line="300"/>
      </w:pPr>
      <w:r>
        <w:rPr>
          <w:rFonts w:ascii="Calibri" w:cs="Calibri" w:eastAsia="Calibri" w:hAnsi="Calibri"/>
          <w:b/>
          <w:bCs/>
          <w:color w:val="1B2A4A"/>
          <w:sz w:val="36"/>
          <w:szCs w:val="36"/>
        </w:rPr>
        <w:t xml:space="preserve">Replicator 1. All Domain Attritable Autonomy</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Replicator 1 targeted the fielding of thousands of attritable autonomous systems by August 2025, spanning air, maritime surface, and undersea domains. As of the first quarter of 2026, transition to operational use is well underway. Hundreds of systems have been delivered to units, thousands are on contract, and the integration challenges associated with communications architecture, data rights, and logistics tails have been largely resolved. This section describes the platforms, the procurement cadence, and the propulsion implications of Replicator 1 in some detail, because the propulsion industrial base must be sized against the aggregate platform portfolio rather than against any single platform in isolation.</w:t>
      </w:r>
    </w:p>
    <w:p>
      <w:pPr>
        <w:pStyle w:val="Heading2"/>
        <w:spacing w:after="140" w:before="300" w:line="300"/>
      </w:pPr>
      <w:r>
        <w:rPr>
          <w:rFonts w:ascii="Calibri" w:cs="Calibri" w:eastAsia="Calibri" w:hAnsi="Calibri"/>
          <w:b/>
          <w:bCs/>
          <w:color w:val="1B2A4A"/>
          <w:sz w:val="28"/>
          <w:szCs w:val="28"/>
        </w:rPr>
        <w:t xml:space="preserve">6.1 Portfolio Composition</w:t>
      </w:r>
    </w:p>
    <w:p>
      <w:pPr>
        <w:spacing w:after="120" w:before="60" w:line="300"/>
        <w:jc w:val="both"/>
      </w:pPr>
      <w:r>
        <w:rPr>
          <w:rFonts w:ascii="Calibri" w:cs="Calibri" w:eastAsia="Calibri" w:hAnsi="Calibri"/>
          <w:b w:val="false"/>
          <w:bCs w:val="false"/>
          <w:i w:val="false"/>
          <w:iCs w:val="false"/>
          <w:color w:val="2C2C2C"/>
          <w:sz w:val="22"/>
          <w:szCs w:val="22"/>
        </w:rPr>
        <w:t xml:space="preserve">Replicator 1 platforms cover a wide range of missions, altitudes, endurance classes, and propulsion architectures. The selections emphasize fielded or near-fielded systems with a credible path to volume rather than experimental concepts. A representative subset follows.</w:t>
      </w:r>
    </w:p>
    <w:p>
      <w:pPr>
        <w:pStyle w:val="Heading3"/>
        <w:spacing w:after="100" w:before="220" w:line="300"/>
      </w:pPr>
      <w:r>
        <w:rPr>
          <w:rFonts w:ascii="Calibri" w:cs="Calibri" w:eastAsia="Calibri" w:hAnsi="Calibri"/>
          <w:b/>
          <w:bCs/>
          <w:color w:val="2E5C8A"/>
          <w:sz w:val="24"/>
          <w:szCs w:val="24"/>
        </w:rPr>
        <w:t xml:space="preserve">Switchblade 600 and Analogous Loitering Munitions</w:t>
      </w:r>
    </w:p>
    <w:p>
      <w:pPr>
        <w:spacing w:after="120" w:before="60" w:line="300"/>
        <w:jc w:val="both"/>
      </w:pPr>
      <w:r>
        <w:rPr>
          <w:rFonts w:ascii="Calibri" w:cs="Calibri" w:eastAsia="Calibri" w:hAnsi="Calibri"/>
          <w:b w:val="false"/>
          <w:bCs w:val="false"/>
          <w:i w:val="false"/>
          <w:iCs w:val="false"/>
          <w:color w:val="2C2C2C"/>
          <w:sz w:val="22"/>
          <w:szCs w:val="22"/>
        </w:rPr>
        <w:t xml:space="preserve">Switchblade 600 is an anti-armor loitering munition produced by AeroVironment. The baseline configuration uses an electric motor for cruise, but the attritable strike class that Replicator 1 has funded includes derivative and competing munitions that use small turbojet or micro turbofan engines to deliver faster response times and longer standoff ranges. These higher-performance variants are the ones most relevant to the propulsion argument of this paper.</w:t>
      </w:r>
    </w:p>
    <w:p>
      <w:pPr>
        <w:pStyle w:val="Heading3"/>
        <w:spacing w:after="100" w:before="220" w:line="300"/>
      </w:pPr>
      <w:r>
        <w:rPr>
          <w:rFonts w:ascii="Calibri" w:cs="Calibri" w:eastAsia="Calibri" w:hAnsi="Calibri"/>
          <w:b/>
          <w:bCs/>
          <w:color w:val="2E5C8A"/>
          <w:sz w:val="24"/>
          <w:szCs w:val="24"/>
        </w:rPr>
        <w:t xml:space="preserve">Anduril Ghost X and Altius 600</w:t>
      </w:r>
    </w:p>
    <w:p>
      <w:pPr>
        <w:spacing w:after="120" w:before="60" w:line="300"/>
        <w:jc w:val="both"/>
      </w:pPr>
      <w:r>
        <w:rPr>
          <w:rFonts w:ascii="Calibri" w:cs="Calibri" w:eastAsia="Calibri" w:hAnsi="Calibri"/>
          <w:b w:val="false"/>
          <w:bCs w:val="false"/>
          <w:i w:val="false"/>
          <w:iCs w:val="false"/>
          <w:color w:val="2C2C2C"/>
          <w:sz w:val="22"/>
          <w:szCs w:val="22"/>
        </w:rPr>
        <w:t xml:space="preserve">Anduril Ghost X is a modular, attritable unmanned aircraft system with optional turbine propulsion variants for higher-thrust missions. Altius 600 is a tube-launched, low-observable strike drone, again with propulsion variants that span electric, piston, and turbine architectures. The Anduril platform family is distinctive for its unified autonomy software stack, which reduces integration cost for new payloads and enables rapid reconfiguration for new missions.</w:t>
      </w:r>
    </w:p>
    <w:p>
      <w:pPr>
        <w:pStyle w:val="Heading3"/>
        <w:spacing w:after="100" w:before="220" w:line="300"/>
      </w:pPr>
      <w:r>
        <w:rPr>
          <w:rFonts w:ascii="Calibri" w:cs="Calibri" w:eastAsia="Calibri" w:hAnsi="Calibri"/>
          <w:b/>
          <w:bCs/>
          <w:color w:val="2E5C8A"/>
          <w:sz w:val="24"/>
          <w:szCs w:val="24"/>
        </w:rPr>
        <w:t xml:space="preserve">Dive LD and Related Autonomous Underwater Vehicles</w:t>
      </w:r>
    </w:p>
    <w:p>
      <w:pPr>
        <w:spacing w:after="120" w:before="60" w:line="300"/>
        <w:jc w:val="both"/>
      </w:pPr>
      <w:r>
        <w:rPr>
          <w:rFonts w:ascii="Calibri" w:cs="Calibri" w:eastAsia="Calibri" w:hAnsi="Calibri"/>
          <w:b w:val="false"/>
          <w:bCs w:val="false"/>
          <w:i w:val="false"/>
          <w:iCs w:val="false"/>
          <w:color w:val="2C2C2C"/>
          <w:sz w:val="22"/>
          <w:szCs w:val="22"/>
        </w:rPr>
        <w:t xml:space="preserve">The Dive LD is a large-displacement autonomous underwater vehicle produced by Anduril through its Dive Technologies acquisition. It extends Replicator into the undersea domain with an electric propulsion architecture optimized for endurance. While this platform does not directly drive cast superalloy blade demand, its inclusion in Replicator 1 demonstrates the breadth of the initiative and provides context for the aggregate program volume.</w:t>
      </w:r>
    </w:p>
    <w:p>
      <w:pPr>
        <w:pStyle w:val="Heading3"/>
        <w:spacing w:after="100" w:before="220" w:line="300"/>
      </w:pPr>
      <w:r>
        <w:rPr>
          <w:rFonts w:ascii="Calibri" w:cs="Calibri" w:eastAsia="Calibri" w:hAnsi="Calibri"/>
          <w:b/>
          <w:bCs/>
          <w:color w:val="2E5C8A"/>
          <w:sz w:val="24"/>
          <w:szCs w:val="24"/>
        </w:rPr>
        <w:t xml:space="preserve">Other Relevant Platforms</w:t>
      </w:r>
    </w:p>
    <w:p>
      <w:pPr>
        <w:spacing w:after="120" w:before="60" w:line="300"/>
        <w:jc w:val="both"/>
      </w:pPr>
      <w:r>
        <w:rPr>
          <w:rFonts w:ascii="Calibri" w:cs="Calibri" w:eastAsia="Calibri" w:hAnsi="Calibri"/>
          <w:b w:val="false"/>
          <w:bCs w:val="false"/>
          <w:i w:val="false"/>
          <w:iCs w:val="false"/>
          <w:color w:val="2C2C2C"/>
          <w:sz w:val="22"/>
          <w:szCs w:val="22"/>
        </w:rPr>
        <w:t xml:space="preserve">Additional Replicator 1 relevant platforms include several Kratos target and attritable aircraft derivatives, various shipborne and port defense unmanned surface vessels, and a range of ground-launched effects and logistics support unmanned systems. The common thread across the turbine-powered subset is the hot section nickel superalloy airfoil.</w:t>
      </w:r>
    </w:p>
    <w:p>
      <w:pPr>
        <w:spacing w:after="160" w:before="0"/>
      </w:pPr>
      <w:r>
        <w:t xml:space="preserve"/>
      </w:r>
    </w:p>
    <w:p>
      <w:pPr>
        <w:pStyle w:val="Heading2"/>
        <w:spacing w:after="140" w:before="300" w:line="300"/>
      </w:pPr>
      <w:r>
        <w:rPr>
          <w:rFonts w:ascii="Calibri" w:cs="Calibri" w:eastAsia="Calibri" w:hAnsi="Calibri"/>
          <w:b/>
          <w:bCs/>
          <w:color w:val="1B2A4A"/>
          <w:sz w:val="28"/>
          <w:szCs w:val="28"/>
        </w:rPr>
        <w:t xml:space="preserve">6.2 Funding Profile</w:t>
      </w:r>
    </w:p>
    <w:p>
      <w:pPr>
        <w:spacing w:after="120" w:before="60" w:line="300"/>
        <w:jc w:val="both"/>
      </w:pPr>
      <w:r>
        <w:rPr>
          <w:rFonts w:ascii="Calibri" w:cs="Calibri" w:eastAsia="Calibri" w:hAnsi="Calibri"/>
          <w:b w:val="false"/>
          <w:bCs w:val="false"/>
          <w:i w:val="false"/>
          <w:iCs w:val="false"/>
          <w:color w:val="2C2C2C"/>
          <w:sz w:val="22"/>
          <w:szCs w:val="22"/>
        </w:rPr>
        <w:t xml:space="preserve">Substantial funding was committed across fiscal years 2024 and 2025 to Replicator 1. Continuation funding for fiscal year 2026 has been confirmed, and the Department of Defense has communicated a multi-year budgetary intent that supports procurement well beyond the initial tranches. The specific allocation across Tranche 1.1 offensive platforms, Tranche 1.2 autonomy software and maritime platforms, and subsequent tranches, are handled through Defense Innovation Unit and other transaction agreement authorities rather than through traditional program of record budget lines, which has the effect of accelerating contracting but obscuring the tranche level detail in public reporting.</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rPr>
          <w:cantSplit/>
        </w:trPr>
        <w:tc>
          <w:tcPr>
            <w:tcW w:type="dxa" w:w="2340"/>
            <w:tcBorders>
              <w:top w:val="single" w:color="1B2A4A" w:sz="2"/>
              <w:left w:val="single" w:color="FFFFFF" w:sz="2"/>
              <w:bottom w:val="single" w:color="1B2A4A" w:sz="2"/>
              <w:right w:val="single" w:color="FFFFFF" w:sz="2"/>
            </w:tcBorders>
            <w:shd w:fill="1B2A4A" w:val="clear"/>
            <w:tcMar>
              <w:top w:type="dxa" w:w="200"/>
              <w:left w:type="dxa" w:w="120"/>
              <w:bottom w:type="dxa" w:w="200"/>
              <w:right w:type="dxa" w:w="120"/>
            </w:tcMar>
          </w:tcPr>
          <w:p>
            <w:pPr>
              <w:spacing w:after="60" w:before="0"/>
              <w:jc w:val="center"/>
            </w:pPr>
            <w:r>
              <w:rPr>
                <w:rFonts w:ascii="Calibri" w:cs="Calibri" w:eastAsia="Calibri" w:hAnsi="Calibri"/>
                <w:b/>
                <w:bCs/>
                <w:color w:val="FFFFFF"/>
                <w:sz w:val="44"/>
                <w:szCs w:val="44"/>
              </w:rPr>
              <w:t xml:space="preserve">Multi-year</w:t>
            </w:r>
          </w:p>
          <w:p>
            <w:pPr>
              <w:spacing w:after="0" w:before="0" w:line="260"/>
              <w:jc w:val="center"/>
            </w:pPr>
            <w:r>
              <w:rPr>
                <w:rFonts w:ascii="Calibri" w:cs="Calibri" w:eastAsia="Calibri" w:hAnsi="Calibri"/>
                <w:color w:val="D5E8F0"/>
                <w:sz w:val="18"/>
                <w:szCs w:val="18"/>
              </w:rPr>
              <w:t xml:space="preserve">Committed FY24 and FY25 funding</w:t>
            </w:r>
          </w:p>
        </w:tc>
        <w:tc>
          <w:tcPr>
            <w:tcW w:type="dxa" w:w="2340"/>
            <w:tcBorders>
              <w:top w:val="single" w:color="1B2A4A" w:sz="2"/>
              <w:left w:val="single" w:color="FFFFFF" w:sz="2"/>
              <w:bottom w:val="single" w:color="1B2A4A" w:sz="2"/>
              <w:right w:val="single" w:color="FFFFFF" w:sz="2"/>
            </w:tcBorders>
            <w:shd w:fill="1B2A4A" w:val="clear"/>
            <w:tcMar>
              <w:top w:type="dxa" w:w="200"/>
              <w:left w:type="dxa" w:w="120"/>
              <w:bottom w:type="dxa" w:w="200"/>
              <w:right w:type="dxa" w:w="120"/>
            </w:tcMar>
          </w:tcPr>
          <w:p>
            <w:pPr>
              <w:spacing w:after="60" w:before="0"/>
              <w:jc w:val="center"/>
            </w:pPr>
            <w:r>
              <w:rPr>
                <w:rFonts w:ascii="Calibri" w:cs="Calibri" w:eastAsia="Calibri" w:hAnsi="Calibri"/>
                <w:b/>
                <w:bCs/>
                <w:color w:val="FFFFFF"/>
                <w:sz w:val="44"/>
                <w:szCs w:val="44"/>
              </w:rPr>
              <w:t xml:space="preserve">Thousands</w:t>
            </w:r>
          </w:p>
          <w:p>
            <w:pPr>
              <w:spacing w:after="0" w:before="0" w:line="260"/>
              <w:jc w:val="center"/>
            </w:pPr>
            <w:r>
              <w:rPr>
                <w:rFonts w:ascii="Calibri" w:cs="Calibri" w:eastAsia="Calibri" w:hAnsi="Calibri"/>
                <w:color w:val="D5E8F0"/>
                <w:sz w:val="18"/>
                <w:szCs w:val="18"/>
              </w:rPr>
              <w:t xml:space="preserve">Platforms on contract</w:t>
            </w:r>
          </w:p>
        </w:tc>
        <w:tc>
          <w:tcPr>
            <w:tcW w:type="dxa" w:w="2340"/>
            <w:tcBorders>
              <w:top w:val="single" w:color="1B2A4A" w:sz="2"/>
              <w:left w:val="single" w:color="FFFFFF" w:sz="2"/>
              <w:bottom w:val="single" w:color="1B2A4A" w:sz="2"/>
              <w:right w:val="single" w:color="FFFFFF" w:sz="2"/>
            </w:tcBorders>
            <w:shd w:fill="1B2A4A" w:val="clear"/>
            <w:tcMar>
              <w:top w:type="dxa" w:w="200"/>
              <w:left w:type="dxa" w:w="120"/>
              <w:bottom w:type="dxa" w:w="200"/>
              <w:right w:type="dxa" w:w="120"/>
            </w:tcMar>
          </w:tcPr>
          <w:p>
            <w:pPr>
              <w:spacing w:after="60" w:before="0"/>
              <w:jc w:val="center"/>
            </w:pPr>
            <w:r>
              <w:rPr>
                <w:rFonts w:ascii="Calibri" w:cs="Calibri" w:eastAsia="Calibri" w:hAnsi="Calibri"/>
                <w:b/>
                <w:bCs/>
                <w:color w:val="FFFFFF"/>
                <w:sz w:val="44"/>
                <w:szCs w:val="44"/>
              </w:rPr>
              <w:t xml:space="preserve">Multi year</w:t>
            </w:r>
          </w:p>
          <w:p>
            <w:pPr>
              <w:spacing w:after="0" w:before="0" w:line="260"/>
              <w:jc w:val="center"/>
            </w:pPr>
            <w:r>
              <w:rPr>
                <w:rFonts w:ascii="Calibri" w:cs="Calibri" w:eastAsia="Calibri" w:hAnsi="Calibri"/>
                <w:color w:val="D5E8F0"/>
                <w:sz w:val="18"/>
                <w:szCs w:val="18"/>
              </w:rPr>
              <w:t xml:space="preserve">Continuation funding confirmed</w:t>
            </w:r>
          </w:p>
        </w:tc>
        <w:tc>
          <w:tcPr>
            <w:tcW w:type="dxa" w:w="2340"/>
            <w:tcBorders>
              <w:top w:val="single" w:color="1B2A4A" w:sz="2"/>
              <w:left w:val="single" w:color="FFFFFF" w:sz="2"/>
              <w:bottom w:val="single" w:color="1B2A4A" w:sz="2"/>
              <w:right w:val="single" w:color="FFFFFF" w:sz="2"/>
            </w:tcBorders>
            <w:shd w:fill="1B2A4A" w:val="clear"/>
            <w:tcMar>
              <w:top w:type="dxa" w:w="200"/>
              <w:left w:type="dxa" w:w="120"/>
              <w:bottom w:type="dxa" w:w="200"/>
              <w:right w:type="dxa" w:w="120"/>
            </w:tcMar>
          </w:tcPr>
          <w:p>
            <w:pPr>
              <w:spacing w:after="60" w:before="0"/>
              <w:jc w:val="center"/>
            </w:pPr>
            <w:r>
              <w:rPr>
                <w:rFonts w:ascii="Calibri" w:cs="Calibri" w:eastAsia="Calibri" w:hAnsi="Calibri"/>
                <w:b/>
                <w:bCs/>
                <w:color w:val="FFFFFF"/>
                <w:sz w:val="44"/>
                <w:szCs w:val="44"/>
              </w:rPr>
              <w:t xml:space="preserve">3 domains</w:t>
            </w:r>
          </w:p>
          <w:p>
            <w:pPr>
              <w:spacing w:after="0" w:before="0" w:line="260"/>
              <w:jc w:val="center"/>
            </w:pPr>
            <w:r>
              <w:rPr>
                <w:rFonts w:ascii="Calibri" w:cs="Calibri" w:eastAsia="Calibri" w:hAnsi="Calibri"/>
                <w:color w:val="D5E8F0"/>
                <w:sz w:val="18"/>
                <w:szCs w:val="18"/>
              </w:rPr>
              <w:t xml:space="preserve">Air, surface, undersea</w:t>
            </w:r>
          </w:p>
        </w:tc>
      </w:tr>
    </w:tbl>
    <w:p>
      <w:pPr>
        <w:spacing w:after="200" w:before="0"/>
      </w:pPr>
      <w:r>
        <w:t xml:space="preserve"/>
      </w:r>
    </w:p>
    <w:p>
      <w:pPr>
        <w:pStyle w:val="Heading2"/>
        <w:spacing w:after="140" w:before="300" w:line="300"/>
      </w:pPr>
      <w:r>
        <w:rPr>
          <w:rFonts w:ascii="Calibri" w:cs="Calibri" w:eastAsia="Calibri" w:hAnsi="Calibri"/>
          <w:b/>
          <w:bCs/>
          <w:color w:val="1B2A4A"/>
          <w:sz w:val="28"/>
          <w:szCs w:val="28"/>
        </w:rPr>
        <w:t xml:space="preserve">6.3 Propulsion Implications</w:t>
      </w:r>
    </w:p>
    <w:p>
      <w:pPr>
        <w:spacing w:after="120" w:before="60" w:line="300"/>
        <w:jc w:val="both"/>
      </w:pPr>
      <w:r>
        <w:rPr>
          <w:rFonts w:ascii="Calibri" w:cs="Calibri" w:eastAsia="Calibri" w:hAnsi="Calibri"/>
          <w:b w:val="false"/>
          <w:bCs w:val="false"/>
          <w:i w:val="false"/>
          <w:iCs w:val="false"/>
          <w:color w:val="2C2C2C"/>
          <w:sz w:val="22"/>
          <w:szCs w:val="22"/>
        </w:rPr>
        <w:t xml:space="preserve">The turbine-powered subset of Replicator 1, by itself, represents a demand signal for tens of thousands of low-cost microturbine engines annually at full rate. Each of those engines carries a hot section airfoil set, typically eight to twenty-four blades per engine depending on architecture. The resulting blade demand is in the hundreds of thousands of units per year, concentrated in a narrow set of alloy specifications dominated by MAR-M247 and its directionally solidified relatives.</w:t>
      </w:r>
    </w:p>
    <w:p>
      <w:pPr>
        <w:spacing w:after="120" w:before="60" w:line="300"/>
        <w:jc w:val="both"/>
      </w:pPr>
      <w:r>
        <w:rPr>
          <w:rFonts w:ascii="Calibri" w:cs="Calibri" w:eastAsia="Calibri" w:hAnsi="Calibri"/>
          <w:b w:val="false"/>
          <w:bCs w:val="false"/>
          <w:i w:val="false"/>
          <w:iCs w:val="false"/>
          <w:color w:val="2C2C2C"/>
          <w:sz w:val="22"/>
          <w:szCs w:val="22"/>
        </w:rPr>
        <w:t xml:space="preserve">No current U.S. casting facility is positioned to meet this demand without displacing commercial aviation and exquisite defense aviation production. And the commercial aviation demand is not negotiable. Boeing and Airbus production rates, engine aftermarket demand, and ongoing regulatory commitments to commercial aviation supply make those allocations strategically inviolable. The conclusion is that Replicator 1 alone requires net new capacity, not a reallocation of existing capacity.</w:t>
      </w:r>
    </w:p>
    <w:p>
      <w:pPr>
        <w:pStyle w:val="Heading2"/>
        <w:spacing w:after="140" w:before="300" w:line="300"/>
      </w:pPr>
      <w:r>
        <w:rPr>
          <w:rFonts w:ascii="Calibri" w:cs="Calibri" w:eastAsia="Calibri" w:hAnsi="Calibri"/>
          <w:b/>
          <w:bCs/>
          <w:color w:val="1B2A4A"/>
          <w:sz w:val="28"/>
          <w:szCs w:val="28"/>
        </w:rPr>
        <w:t xml:space="preserve">6.4 Observed Procurement Cadence</w:t>
      </w:r>
    </w:p>
    <w:p>
      <w:pPr>
        <w:spacing w:after="120" w:before="60" w:line="300"/>
        <w:jc w:val="both"/>
      </w:pPr>
      <w:r>
        <w:rPr>
          <w:rFonts w:ascii="Calibri" w:cs="Calibri" w:eastAsia="Calibri" w:hAnsi="Calibri"/>
          <w:b w:val="false"/>
          <w:bCs w:val="false"/>
          <w:i w:val="false"/>
          <w:iCs w:val="false"/>
          <w:color w:val="2C2C2C"/>
          <w:sz w:val="22"/>
          <w:szCs w:val="22"/>
        </w:rPr>
        <w:t xml:space="preserve">The procurement cadence observed through the first quarter of 2026 suggests that Replicator 1 contracting has settled into a pattern of large, multiplatform tranches awarded through the Defense Innovation Unit, followed by service-specific deliveries coordinated through the respective service program offices. This cadence creates a predictable demand signal for downstream suppliers if those suppliers are integrated into platform vendor programs early enough to participate in the tranche awards.</w:t>
      </w:r>
    </w:p>
    <w:p>
      <w:pPr>
        <w:spacing w:after="120" w:before="60" w:line="300"/>
        <w:jc w:val="both"/>
      </w:pPr>
      <w:r>
        <w:rPr>
          <w:rFonts w:ascii="Calibri" w:cs="Calibri" w:eastAsia="Calibri" w:hAnsi="Calibri"/>
          <w:b w:val="false"/>
          <w:bCs w:val="false"/>
          <w:i w:val="false"/>
          <w:iCs w:val="false"/>
          <w:color w:val="2C2C2C"/>
          <w:sz w:val="22"/>
          <w:szCs w:val="22"/>
        </w:rPr>
        <w:t xml:space="preserve">For a propulsion casting facility, this means that the commercial go-to-market motion is not, at least not principally, direct sales to the Defense Innovation Unit. It is integration into engine OEMs and platform prime supply chains, which in turn participate in the Defense Innovation Unit-led tranche awards. The facility must be positioned as a qualified supplier to PBS Aerospace, UAV Turbines, Williams International, Kratos Turbine Technologies, and the other microturbine OEMs that power the turbine-powered subset of the Replicator portfolio.</w:t>
      </w:r>
    </w:p>
    <w:p>
      <w:pPr>
        <w:spacing w:after="16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B2A4A" w:sz="4"/>
              <w:left w:val="single" w:color="1B2A4A" w:sz="24"/>
              <w:bottom w:val="single" w:color="1B2A4A" w:sz="4"/>
              <w:right w:val="single" w:color="1B2A4A" w:sz="4"/>
            </w:tcBorders>
            <w:shd w:fill="D5E8F0" w:val="clear"/>
            <w:tcMar>
              <w:top w:type="dxa" w:w="180"/>
              <w:left w:type="dxa" w:w="240"/>
              <w:bottom w:type="dxa" w:w="180"/>
              <w:right w:type="dxa" w:w="240"/>
            </w:tcMar>
          </w:tcPr>
          <w:p>
            <w:pPr>
              <w:spacing w:after="80" w:before="80"/>
            </w:pPr>
            <w:r>
              <w:rPr>
                <w:rFonts w:ascii="Calibri" w:cs="Calibri" w:eastAsia="Calibri" w:hAnsi="Calibri"/>
                <w:b/>
                <w:bCs/>
                <w:color w:val="1B2A4A"/>
                <w:sz w:val="22"/>
                <w:szCs w:val="22"/>
              </w:rPr>
              <w:t xml:space="preserve">THE PROPULSION IMPLICATION</w:t>
            </w:r>
          </w:p>
          <w:p>
            <w:pPr>
              <w:spacing w:after="40" w:before="40" w:line="280"/>
            </w:pPr>
            <w:r>
              <w:rPr>
                <w:rFonts w:ascii="Calibri" w:cs="Calibri" w:eastAsia="Calibri" w:hAnsi="Calibri"/>
                <w:b/>
                <w:bCs/>
                <w:i w:val="false"/>
                <w:iCs w:val="false"/>
                <w:color w:val="1B2A4A"/>
                <w:sz w:val="21"/>
                <w:szCs w:val="21"/>
              </w:rPr>
              <w:t xml:space="preserve">Replicator 1 alone creates a demand signal for tens of thousands of low-cost microturbine engines annually and hundreds of thousands of cast nickel superalloy airfoils. </w:t>
            </w:r>
            <w:r>
              <w:rPr>
                <w:rFonts w:ascii="Calibri" w:cs="Calibri" w:eastAsia="Calibri" w:hAnsi="Calibri"/>
                <w:b w:val="false"/>
                <w:bCs w:val="false"/>
                <w:i w:val="false"/>
                <w:iCs w:val="false"/>
                <w:color w:val="2C2C2C"/>
                <w:sz w:val="21"/>
                <w:szCs w:val="21"/>
              </w:rPr>
              <w:t xml:space="preserve">No current U.S. casting facility is positioned to meet this demand without displacing irreplaceable commercial aviation and exquisite defense aviation production. Net new capacity is required.</w:t>
            </w:r>
          </w:p>
        </w:tc>
      </w:tr>
    </w:tbl>
    <w:p>
      <w:pPr>
        <w:pStyle w:val="Heading2"/>
        <w:spacing w:after="140" w:before="300" w:line="300"/>
      </w:pPr>
      <w:r>
        <w:rPr>
          <w:rFonts w:ascii="Calibri" w:cs="Calibri" w:eastAsia="Calibri" w:hAnsi="Calibri"/>
          <w:b/>
          <w:bCs/>
          <w:color w:val="1B2A4A"/>
          <w:sz w:val="28"/>
          <w:szCs w:val="28"/>
        </w:rPr>
        <w:t xml:space="preserve">6.5 Allied and Partner Considerations</w:t>
      </w:r>
    </w:p>
    <w:p>
      <w:pPr>
        <w:spacing w:after="120" w:before="60" w:line="300"/>
        <w:jc w:val="both"/>
      </w:pPr>
      <w:r>
        <w:rPr>
          <w:rFonts w:ascii="Calibri" w:cs="Calibri" w:eastAsia="Calibri" w:hAnsi="Calibri"/>
          <w:b w:val="false"/>
          <w:bCs w:val="false"/>
          <w:i w:val="false"/>
          <w:iCs w:val="false"/>
          <w:color w:val="2C2C2C"/>
          <w:sz w:val="22"/>
          <w:szCs w:val="22"/>
        </w:rPr>
        <w:t xml:space="preserve">A final dimension of Replicator 1 worth noting is the allied and partner dimension. Several allied nations have explicit bilateral agreements or multilateral frameworks that anticipate cross-national sourcing of attritable systems. The AUKUS undersea arrangement, the trilateral US-Japan-Republic of Korea defense industrial cooperation, and various NATO attritable autonomy initiatives all contemplate US-supplied propulsion for allied platforms. This expands the addressable demand for U.S. cast superalloy blade capacity beyond the direct DoW demand modeled above, and it reinforces the strategic case for domestic capacity.</w:t>
      </w:r>
    </w:p>
    <w:p>
      <w:pPr>
        <w:pageBreakBefore/>
        <w:spacing w:after="60" w:before="200"/>
      </w:pPr>
      <w:r>
        <w:rPr>
          <w:rFonts w:ascii="Calibri" w:cs="Calibri" w:eastAsia="Calibri" w:hAnsi="Calibri"/>
          <w:b/>
          <w:bCs/>
          <w:color w:val="2E5C8A"/>
          <w:sz w:val="18"/>
          <w:szCs w:val="18"/>
        </w:rPr>
        <w:t xml:space="preserve">SECTION 7</w:t>
      </w:r>
    </w:p>
    <w:p>
      <w:pPr>
        <w:pStyle w:val="Heading1"/>
        <w:spacing w:after="200" w:before="400" w:line="300"/>
      </w:pPr>
      <w:r>
        <w:rPr>
          <w:rFonts w:ascii="Calibri" w:cs="Calibri" w:eastAsia="Calibri" w:hAnsi="Calibri"/>
          <w:b/>
          <w:bCs/>
          <w:color w:val="1B2A4A"/>
          <w:sz w:val="36"/>
          <w:szCs w:val="36"/>
        </w:rPr>
        <w:t xml:space="preserve">Replicator 2. Counter Small UAS</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Replicator 2 was announced in September 2024 via a Secretary of Defense memorandum that identified the adversary small unmanned aircraft threat as the second priority area for attritable autonomy investment. Where Replicator 1 focused on offensive and sensing applications, Replicator 2 focuses on defense. The mission set includes installation defense, forward operating base protection, ship and port defense, and expeditionary defense of deployed forces. This section describes Replicator 2, its acquisition pathway, and its distinct propulsion implications.</w:t>
      </w:r>
    </w:p>
    <w:p>
      <w:pPr>
        <w:pStyle w:val="Heading2"/>
        <w:spacing w:after="140" w:before="300" w:line="300"/>
      </w:pPr>
      <w:r>
        <w:rPr>
          <w:rFonts w:ascii="Calibri" w:cs="Calibri" w:eastAsia="Calibri" w:hAnsi="Calibri"/>
          <w:b/>
          <w:bCs/>
          <w:color w:val="1B2A4A"/>
          <w:sz w:val="28"/>
          <w:szCs w:val="28"/>
        </w:rPr>
        <w:t xml:space="preserve">7.1 The Counter Small UAS Problem</w:t>
      </w:r>
    </w:p>
    <w:p>
      <w:pPr>
        <w:spacing w:after="120" w:before="60" w:line="300"/>
        <w:jc w:val="both"/>
      </w:pPr>
      <w:r>
        <w:rPr>
          <w:rFonts w:ascii="Calibri" w:cs="Calibri" w:eastAsia="Calibri" w:hAnsi="Calibri"/>
          <w:b w:val="false"/>
          <w:bCs w:val="false"/>
          <w:i w:val="false"/>
          <w:iCs w:val="false"/>
          <w:color w:val="2C2C2C"/>
          <w:sz w:val="22"/>
          <w:szCs w:val="22"/>
        </w:rPr>
        <w:t xml:space="preserve">Small unmanned aircraft, typically group one and group two systems, have become the defining asymmetric threat to U.S. forces. Commercially available quadcopters and fixed wing platforms can be weaponized quickly and inexpensively, producing strike effects out of proportion to their cost. The Ukrainian conflict has demonstrated the operational impact of drone-dominated combat. Adversary and non-state actor use of commercial drones against U.S. forces, installations, and allies has accelerated. The counter small UAS requirement is now a first-order defense priority.</w:t>
      </w:r>
    </w:p>
    <w:p>
      <w:pPr>
        <w:spacing w:after="120" w:before="60" w:line="300"/>
        <w:jc w:val="both"/>
      </w:pPr>
      <w:r>
        <w:rPr>
          <w:rFonts w:ascii="Calibri" w:cs="Calibri" w:eastAsia="Calibri" w:hAnsi="Calibri"/>
          <w:b w:val="false"/>
          <w:bCs w:val="false"/>
          <w:i w:val="false"/>
          <w:iCs w:val="false"/>
          <w:color w:val="2C2C2C"/>
          <w:sz w:val="22"/>
          <w:szCs w:val="22"/>
        </w:rPr>
        <w:t xml:space="preserve">Traditional defensive responses, surface-to-air missiles, anti-aircraft guns, and electronic warfare systems are either cost disproportionate or effective only against narrow threat subsets. A high-value interceptor missile shot against a commercially sourced drone is an unfavorable cost exchange by any standard. A directed energy system is effective against line-of-sight targets but expensive and finicky in complex weather. Electronic warfare can disrupt commercial drones but is largely defeated by hardened or fiber-optic-guided adversary systems.</w:t>
      </w:r>
    </w:p>
    <w:p>
      <w:pPr>
        <w:spacing w:after="120" w:before="60" w:line="300"/>
        <w:jc w:val="both"/>
      </w:pPr>
      <w:r>
        <w:rPr>
          <w:rFonts w:ascii="Calibri" w:cs="Calibri" w:eastAsia="Calibri" w:hAnsi="Calibri"/>
          <w:b w:val="false"/>
          <w:bCs w:val="false"/>
          <w:i w:val="false"/>
          <w:iCs w:val="false"/>
          <w:color w:val="2C2C2C"/>
          <w:sz w:val="22"/>
          <w:szCs w:val="22"/>
        </w:rPr>
        <w:t xml:space="preserve">Attritable interceptor drones are the third response, and they have the potential to establish a favorable cost exchange ratio when deployed in numbers. A low-cost attritable interceptor against a commercially sourced threat is still not ideal on a one-for-one basis, but it is vastly better than a high-value missile, and at volume the interceptor cost can fall further. This is the space that Replicator 2 funds.</w:t>
      </w:r>
    </w:p>
    <w:p>
      <w:pPr>
        <w:pStyle w:val="Heading2"/>
        <w:spacing w:after="140" w:before="300" w:line="300"/>
      </w:pPr>
      <w:r>
        <w:rPr>
          <w:rFonts w:ascii="Calibri" w:cs="Calibri" w:eastAsia="Calibri" w:hAnsi="Calibri"/>
          <w:b/>
          <w:bCs/>
          <w:color w:val="1B2A4A"/>
          <w:sz w:val="28"/>
          <w:szCs w:val="28"/>
        </w:rPr>
        <w:t xml:space="preserve">7.2 Programmatic Structure</w:t>
      </w:r>
    </w:p>
    <w:p>
      <w:pPr>
        <w:spacing w:after="120" w:before="60" w:line="300"/>
        <w:jc w:val="both"/>
      </w:pPr>
      <w:r>
        <w:rPr>
          <w:rFonts w:ascii="Calibri" w:cs="Calibri" w:eastAsia="Calibri" w:hAnsi="Calibri"/>
          <w:b w:val="false"/>
          <w:bCs w:val="false"/>
          <w:i w:val="false"/>
          <w:iCs w:val="false"/>
          <w:color w:val="2C2C2C"/>
          <w:sz w:val="22"/>
          <w:szCs w:val="22"/>
        </w:rPr>
        <w:t xml:space="preserve">The consolidation of counter-small UAS authorities under Joint Interagency Task Force 401 in August 2025 streamlined contracting and acquisition timelines for Replicator 2 systems. The first major Replicator 2 contract awards, including DroneHunter F700 interceptors, were made in January 2026. Initial deliveries are expected in April 2026, with the full procurement pipeline extending through at least fiscal year 2028.</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8"/>
        <w:gridCol w:w="6552"/>
      </w:tblGrid>
      <w:tr>
        <w:trPr>
          <w:cantSplit/>
          <w:tblHeader/>
        </w:trPr>
        <w:tc>
          <w:tcPr>
            <w:tcW w:type="dxa" w:w="2808"/>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Element</w:t>
            </w:r>
          </w:p>
        </w:tc>
        <w:tc>
          <w:tcPr>
            <w:tcW w:type="dxa" w:w="6552"/>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Characteristic</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Primary mission</w:t>
            </w:r>
          </w:p>
        </w:tc>
        <w:tc>
          <w:tcPr>
            <w:tcW w:type="dxa" w:w="6552"/>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Engagement of adversary group 1 and group 2 UAS</w:t>
            </w:r>
          </w:p>
        </w:tc>
      </w:tr>
      <w:tr>
        <w:trPr>
          <w:cantSplit/>
        </w:trPr>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Deployment model</w:t>
            </w:r>
          </w:p>
        </w:tc>
        <w:tc>
          <w:tcPr>
            <w:tcW w:type="dxa" w:w="6552"/>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Installation defense, FOB protection, ship and port defense</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Target engagement speeds</w:t>
            </w:r>
          </w:p>
        </w:tc>
        <w:tc>
          <w:tcPr>
            <w:tcW w:type="dxa" w:w="6552"/>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Interceptor must exceed threat speed by significant margin</w:t>
            </w:r>
          </w:p>
        </w:tc>
      </w:tr>
      <w:tr>
        <w:trPr>
          <w:cantSplit/>
        </w:trPr>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Propulsion class</w:t>
            </w:r>
          </w:p>
        </w:tc>
        <w:tc>
          <w:tcPr>
            <w:tcW w:type="dxa" w:w="6552"/>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Small turbojet or micro turbofan for high-speed interceptors</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Cost target</w:t>
            </w:r>
          </w:p>
        </w:tc>
        <w:tc>
          <w:tcPr>
            <w:tcW w:type="dxa" w:w="6552"/>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Attritable per interceptor economics</w:t>
            </w:r>
          </w:p>
        </w:tc>
      </w:tr>
      <w:tr>
        <w:trPr>
          <w:cantSplit/>
        </w:trPr>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Contracting authority</w:t>
            </w:r>
          </w:p>
        </w:tc>
        <w:tc>
          <w:tcPr>
            <w:tcW w:type="dxa" w:w="6552"/>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JIATF 401, DIU, rapid acquisition pathways</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Funding horizon</w:t>
            </w:r>
          </w:p>
        </w:tc>
        <w:tc>
          <w:tcPr>
            <w:tcW w:type="dxa" w:w="6552"/>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FY2026 through at least FY2028</w:t>
            </w:r>
          </w:p>
        </w:tc>
      </w:tr>
    </w:tbl>
    <w:p>
      <w:pPr>
        <w:spacing w:after="200" w:before="0"/>
      </w:pPr>
      <w:r>
        <w:t xml:space="preserve"/>
      </w:r>
    </w:p>
    <w:p>
      <w:pPr>
        <w:pStyle w:val="Heading2"/>
        <w:spacing w:after="140" w:before="300" w:line="300"/>
      </w:pPr>
      <w:r>
        <w:rPr>
          <w:rFonts w:ascii="Calibri" w:cs="Calibri" w:eastAsia="Calibri" w:hAnsi="Calibri"/>
          <w:b/>
          <w:bCs/>
          <w:color w:val="1B2A4A"/>
          <w:sz w:val="28"/>
          <w:szCs w:val="28"/>
        </w:rPr>
        <w:t xml:space="preserve">7.3 The DroneHunter F700 as Reference Platform</w:t>
      </w:r>
    </w:p>
    <w:p>
      <w:pPr>
        <w:spacing w:after="120" w:before="60" w:line="300"/>
        <w:jc w:val="both"/>
      </w:pPr>
      <w:r>
        <w:rPr>
          <w:rFonts w:ascii="Calibri" w:cs="Calibri" w:eastAsia="Calibri" w:hAnsi="Calibri"/>
          <w:b w:val="false"/>
          <w:bCs w:val="false"/>
          <w:i w:val="false"/>
          <w:iCs w:val="false"/>
          <w:color w:val="2C2C2C"/>
          <w:sz w:val="22"/>
          <w:szCs w:val="22"/>
        </w:rPr>
        <w:t xml:space="preserve">The DroneHunter F700, produced by Fortem Technologies, is an artificial intelligence enabled interceptor drone designed for counter small UAS engagement in all weather and GPS denied environments. The F700 uses turbine propulsion to achieve the speed and maneuverability required to run down adversary platforms. The January 2026 contract award and April 2026 initial delivery milestones represent the most publicly visible data points for Replicator 2 propulsion demand, and they validate the assumption that counter small UAS interceptors will be turbine-powered.</w:t>
      </w:r>
    </w:p>
    <w:p>
      <w:pPr>
        <w:spacing w:after="120" w:before="60" w:line="300"/>
        <w:jc w:val="both"/>
      </w:pPr>
      <w:r>
        <w:rPr>
          <w:rFonts w:ascii="Calibri" w:cs="Calibri" w:eastAsia="Calibri" w:hAnsi="Calibri"/>
          <w:b w:val="false"/>
          <w:bCs w:val="false"/>
          <w:i w:val="false"/>
          <w:iCs w:val="false"/>
          <w:color w:val="2C2C2C"/>
          <w:sz w:val="22"/>
          <w:szCs w:val="22"/>
        </w:rPr>
        <w:t xml:space="preserve">Beyond the F700, multiple vendor programs are competing in the Replicator 2 interceptor space, and the full interceptor portfolio will likely include several distinct propulsion solutions. The common thread, again, is the cast nickel superalloy airfoil in the engine hot section.</w:t>
      </w:r>
    </w:p>
    <w:p>
      <w:pPr>
        <w:pStyle w:val="Heading2"/>
        <w:spacing w:after="140" w:before="300" w:line="300"/>
      </w:pPr>
      <w:r>
        <w:rPr>
          <w:rFonts w:ascii="Calibri" w:cs="Calibri" w:eastAsia="Calibri" w:hAnsi="Calibri"/>
          <w:b/>
          <w:bCs/>
          <w:color w:val="1B2A4A"/>
          <w:sz w:val="28"/>
          <w:szCs w:val="28"/>
        </w:rPr>
        <w:t xml:space="preserve">7.4 Layered Defense Architecture</w:t>
      </w:r>
    </w:p>
    <w:p>
      <w:pPr>
        <w:spacing w:after="120" w:before="60" w:line="300"/>
        <w:jc w:val="both"/>
      </w:pPr>
      <w:r>
        <w:rPr>
          <w:rFonts w:ascii="Calibri" w:cs="Calibri" w:eastAsia="Calibri" w:hAnsi="Calibri"/>
          <w:b w:val="false"/>
          <w:bCs w:val="false"/>
          <w:i w:val="false"/>
          <w:iCs w:val="false"/>
          <w:color w:val="2C2C2C"/>
          <w:sz w:val="22"/>
          <w:szCs w:val="22"/>
        </w:rPr>
        <w:t xml:space="preserve">The Department of Defense envisions Replicator 2 as contributing to a layered counter small UAS architecture. The outer layer, at longer range, employs sensing and tracking, fighter sweeps, and standoff effects. The middle layer, at intermediate range, employs high-speed interceptor drones and kinetic effectors. The inner layer, at close in range, employs directed energy, short range missiles, and gun systems. Replicator 2 funds the middle layer, where the propulsion requirement is most stringent and the cast airfoil demand most concentrated.</w:t>
      </w:r>
    </w:p>
    <w:p>
      <w:pPr>
        <w:spacing w:after="120" w:before="60" w:line="300"/>
        <w:jc w:val="both"/>
      </w:pPr>
      <w:r>
        <w:rPr>
          <w:rFonts w:ascii="Calibri" w:cs="Calibri" w:eastAsia="Calibri" w:hAnsi="Calibri"/>
          <w:b w:val="false"/>
          <w:bCs w:val="false"/>
          <w:i w:val="false"/>
          <w:iCs w:val="false"/>
          <w:color w:val="2C2C2C"/>
          <w:sz w:val="22"/>
          <w:szCs w:val="22"/>
        </w:rPr>
        <w:t xml:space="preserve">Each layer requires different performance characteristics. The middle layer in particular requires interceptors with thrust-to-weight ratios and acceleration profiles that are demanding for micro turbine designs. Meeting these requirements at the attritable cost point is the propulsion challenge that Replicator 2 imposes on the industrial base.</w:t>
      </w:r>
    </w:p>
    <w:p>
      <w:pPr>
        <w:pStyle w:val="Heading2"/>
        <w:spacing w:after="140" w:before="300" w:line="300"/>
      </w:pPr>
      <w:r>
        <w:rPr>
          <w:rFonts w:ascii="Calibri" w:cs="Calibri" w:eastAsia="Calibri" w:hAnsi="Calibri"/>
          <w:b/>
          <w:bCs/>
          <w:color w:val="1B2A4A"/>
          <w:sz w:val="28"/>
          <w:szCs w:val="28"/>
        </w:rPr>
        <w:t xml:space="preserve">7.5 Propulsion Implication Summary</w:t>
      </w:r>
    </w:p>
    <w:p>
      <w:pPr>
        <w:spacing w:after="120" w:before="60" w:line="300"/>
        <w:jc w:val="both"/>
      </w:pPr>
      <w:r>
        <w:rPr>
          <w:rFonts w:ascii="Calibri" w:cs="Calibri" w:eastAsia="Calibri" w:hAnsi="Calibri"/>
          <w:b w:val="false"/>
          <w:bCs w:val="false"/>
          <w:i w:val="false"/>
          <w:iCs w:val="false"/>
          <w:color w:val="2C2C2C"/>
          <w:sz w:val="22"/>
          <w:szCs w:val="22"/>
        </w:rPr>
        <w:t xml:space="preserve">Replicator 2 significantly expands the sustained demand for attritable propulsion components. Interceptor drones in the middle layer of the counter small UAS architecture require small, high-thrust-to-weight turbojets that perform reliably on heavy fuels. The layered defense concept envisions multiple interceptor tiers, each requiring purpose-built turbine engines at scale. Combined with Replicator 1, the aggregate demand for cast MAR-M247 and related hot-section airfoils approaches thousands of blades per month at full rate.</w:t>
      </w:r>
    </w:p>
    <w:p>
      <w:pPr>
        <w:spacing w:after="16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B2A4A" w:sz="4"/>
              <w:left w:val="single" w:color="1B2A4A" w:sz="24"/>
              <w:bottom w:val="single" w:color="1B2A4A" w:sz="4"/>
              <w:right w:val="single" w:color="1B2A4A" w:sz="4"/>
            </w:tcBorders>
            <w:shd w:fill="D5E8F0" w:val="clear"/>
            <w:tcMar>
              <w:top w:type="dxa" w:w="180"/>
              <w:left w:type="dxa" w:w="240"/>
              <w:bottom w:type="dxa" w:w="180"/>
              <w:right w:type="dxa" w:w="240"/>
            </w:tcMar>
          </w:tcPr>
          <w:p>
            <w:pPr>
              <w:spacing w:after="80" w:before="80"/>
            </w:pPr>
            <w:r>
              <w:rPr>
                <w:rFonts w:ascii="Calibri" w:cs="Calibri" w:eastAsia="Calibri" w:hAnsi="Calibri"/>
                <w:b/>
                <w:bCs/>
                <w:color w:val="1B2A4A"/>
                <w:sz w:val="22"/>
                <w:szCs w:val="22"/>
              </w:rPr>
              <w:t xml:space="preserve">THE MULTI YEAR DEMAND</w:t>
            </w:r>
          </w:p>
          <w:p>
            <w:pPr>
              <w:spacing w:after="40" w:before="40" w:line="280"/>
            </w:pPr>
            <w:r>
              <w:rPr>
                <w:rFonts w:ascii="Calibri" w:cs="Calibri" w:eastAsia="Calibri" w:hAnsi="Calibri"/>
                <w:color w:val="2C2C2C"/>
                <w:sz w:val="21"/>
                <w:szCs w:val="21"/>
              </w:rPr>
              <w:t xml:space="preserve">Replicator 2 extends the propulsion demand signal through at least fiscal year 2028, reinforcing the business case for new domestic casting facilities. Combined with Replicator 1, the aggregate Replicator portfolio creates the most concentrated domestic demand signal for attritable microturbine propulsion that the U.S. industrial base has seen in a generation.</w:t>
            </w:r>
          </w:p>
        </w:tc>
      </w:tr>
    </w:tbl>
    <w:p>
      <w:pPr>
        <w:pStyle w:val="Heading2"/>
        <w:spacing w:after="140" w:before="300" w:line="300"/>
      </w:pPr>
      <w:r>
        <w:rPr>
          <w:rFonts w:ascii="Calibri" w:cs="Calibri" w:eastAsia="Calibri" w:hAnsi="Calibri"/>
          <w:b/>
          <w:bCs/>
          <w:color w:val="1B2A4A"/>
          <w:sz w:val="28"/>
          <w:szCs w:val="28"/>
        </w:rPr>
        <w:t xml:space="preserve">7.6 Implications for the Facility Case</w:t>
      </w:r>
    </w:p>
    <w:p>
      <w:pPr>
        <w:spacing w:after="120" w:before="60" w:line="300"/>
        <w:jc w:val="both"/>
      </w:pPr>
      <w:r>
        <w:rPr>
          <w:rFonts w:ascii="Calibri" w:cs="Calibri" w:eastAsia="Calibri" w:hAnsi="Calibri"/>
          <w:b w:val="false"/>
          <w:bCs w:val="false"/>
          <w:i w:val="false"/>
          <w:iCs w:val="false"/>
          <w:color w:val="2C2C2C"/>
          <w:sz w:val="22"/>
          <w:szCs w:val="22"/>
        </w:rPr>
        <w:t xml:space="preserve">The Replicator 1 and Replicator 2 demand signals are not merely additive. They are complementary in a way that strengthens the facility business case. Replicator 1 demand is spread across air, surface, and undersea domains and across offensive and sensing mission types, which smooths the demand curve. Replicator 2 demand is concentrated in a specific defensive mission type and is likely to ramp steeply as the JIATF 401-driven contracting cadence accelerates. Together they provide both base load and surge load for a propulsion casting facility, improving capacity utilization and financial returns.</w:t>
      </w:r>
    </w:p>
    <w:p>
      <w:pPr>
        <w:pageBreakBefore/>
        <w:spacing w:after="60" w:before="200"/>
      </w:pPr>
      <w:r>
        <w:rPr>
          <w:rFonts w:ascii="Calibri" w:cs="Calibri" w:eastAsia="Calibri" w:hAnsi="Calibri"/>
          <w:b/>
          <w:bCs/>
          <w:color w:val="2E5C8A"/>
          <w:sz w:val="18"/>
          <w:szCs w:val="18"/>
        </w:rPr>
        <w:t xml:space="preserve">SECTION 8</w:t>
      </w:r>
    </w:p>
    <w:p>
      <w:pPr>
        <w:pStyle w:val="Heading1"/>
        <w:spacing w:after="200" w:before="400" w:line="300"/>
      </w:pPr>
      <w:r>
        <w:rPr>
          <w:rFonts w:ascii="Calibri" w:cs="Calibri" w:eastAsia="Calibri" w:hAnsi="Calibri"/>
          <w:b/>
          <w:bCs/>
          <w:color w:val="1B2A4A"/>
          <w:sz w:val="36"/>
          <w:szCs w:val="36"/>
        </w:rPr>
        <w:t xml:space="preserve">The Manufacturing Gap</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The preceding sections established the demand side of the equation. This section quantifies the supply side. It describes the current state of the U.S. nickel superalloy casting base, the specific gaps between current capacity and Replicator demand, and the structural reasons why those gaps cannot be closed through incremental expansion of existing facilities alone.</w:t>
      </w:r>
    </w:p>
    <w:p>
      <w:pPr>
        <w:pStyle w:val="Heading2"/>
        <w:spacing w:after="140" w:before="300" w:line="300"/>
      </w:pPr>
      <w:r>
        <w:rPr>
          <w:rFonts w:ascii="Calibri" w:cs="Calibri" w:eastAsia="Calibri" w:hAnsi="Calibri"/>
          <w:b/>
          <w:bCs/>
          <w:color w:val="1B2A4A"/>
          <w:sz w:val="28"/>
          <w:szCs w:val="28"/>
        </w:rPr>
        <w:t xml:space="preserve">8.1 The Current Domestic Base</w:t>
      </w:r>
    </w:p>
    <w:p>
      <w:pPr>
        <w:spacing w:after="120" w:before="60" w:line="300"/>
        <w:jc w:val="both"/>
      </w:pPr>
      <w:r>
        <w:rPr>
          <w:rFonts w:ascii="Calibri" w:cs="Calibri" w:eastAsia="Calibri" w:hAnsi="Calibri"/>
          <w:b w:val="false"/>
          <w:bCs w:val="false"/>
          <w:i w:val="false"/>
          <w:iCs w:val="false"/>
          <w:color w:val="2C2C2C"/>
          <w:sz w:val="22"/>
          <w:szCs w:val="22"/>
        </w:rPr>
        <w:t xml:space="preserve">The U.S. cast nickel superalloy supply base for aerospace and defense applications consists of a short list of foundries. The largest and most capable are integrated within major engine original equipment manufacturers, where they serve internal commercial aviation and military programs. Independent investment casting specialists serve the rest of the market, including industrial gas turbines, smaller engine programs, and defense applications that the primes do not vertically supply. Within this base, capacity dedicated to thin-wall hot-section airfoil production is a subset of the broader nickel casting capacity.</w:t>
      </w:r>
    </w:p>
    <w:p>
      <w:pPr>
        <w:spacing w:after="120" w:before="60" w:line="300"/>
        <w:jc w:val="both"/>
      </w:pPr>
      <w:r>
        <w:rPr>
          <w:rFonts w:ascii="Calibri" w:cs="Calibri" w:eastAsia="Calibri" w:hAnsi="Calibri"/>
          <w:b w:val="false"/>
          <w:bCs w:val="false"/>
          <w:i w:val="false"/>
          <w:iCs w:val="false"/>
          <w:color w:val="2C2C2C"/>
          <w:sz w:val="22"/>
          <w:szCs w:val="22"/>
        </w:rPr>
        <w:t xml:space="preserve">Capacity at these facilities is not idle. Commercial aviation demand is strong. Engine OEM production rates are at or near capacity for next-generation narrow-body engines. Spare parts demand for legacy commercial and military engines is robust. Industrial gas turbine demand, driven by power generation market dynamics, is growing. Hypersonic vehicle programs are adding hot-section demand at the margin. Space launch, including the RS-25 rocket engine replacement program that Aerojet Rocketdyne supports, continues to place high value and demand on superalloy foundries.</w:t>
      </w:r>
    </w:p>
    <w:p>
      <w:pPr>
        <w:pStyle w:val="Heading2"/>
        <w:spacing w:after="140" w:before="300" w:line="300"/>
      </w:pPr>
      <w:r>
        <w:rPr>
          <w:rFonts w:ascii="Calibri" w:cs="Calibri" w:eastAsia="Calibri" w:hAnsi="Calibri"/>
          <w:b/>
          <w:bCs/>
          <w:color w:val="1B2A4A"/>
          <w:sz w:val="28"/>
          <w:szCs w:val="28"/>
        </w:rPr>
        <w:t xml:space="preserve">8.2 The Ceramic Shell Supply Chain</w:t>
      </w:r>
    </w:p>
    <w:p>
      <w:pPr>
        <w:spacing w:after="120" w:before="60" w:line="300"/>
        <w:jc w:val="both"/>
      </w:pPr>
      <w:r>
        <w:rPr>
          <w:rFonts w:ascii="Calibri" w:cs="Calibri" w:eastAsia="Calibri" w:hAnsi="Calibri"/>
          <w:b w:val="false"/>
          <w:bCs w:val="false"/>
          <w:i w:val="false"/>
          <w:iCs w:val="false"/>
          <w:color w:val="2C2C2C"/>
          <w:sz w:val="22"/>
          <w:szCs w:val="22"/>
        </w:rPr>
        <w:t xml:space="preserve">The upstream ceramic shell supply chain, which the foundries depend on, has its own fragility. Specialty silica flours, zircon flours, fused silica and zircon sands, aluminum oxide stuccos, and binder resins are supplied by a short list of domestic and international vendors. Several of these vendors have faced quality, capacity, or environmental compliance challenges over the past five years. A Replicator-aligned foundry expansion that does not address the ceramic material supply chain in parallel will be constrained by upstream shortages within eighteen months of reaching production volume.</w:t>
      </w:r>
    </w:p>
    <w:p>
      <w:pPr>
        <w:spacing w:after="120" w:before="60" w:line="300"/>
        <w:jc w:val="both"/>
      </w:pPr>
      <w:r>
        <w:rPr>
          <w:rFonts w:ascii="Calibri" w:cs="Calibri" w:eastAsia="Calibri" w:hAnsi="Calibri"/>
          <w:b w:val="false"/>
          <w:bCs w:val="false"/>
          <w:i w:val="false"/>
          <w:iCs w:val="false"/>
          <w:color w:val="2C2C2C"/>
          <w:sz w:val="22"/>
          <w:szCs w:val="22"/>
        </w:rPr>
        <w:t xml:space="preserve">Digital investment casting partially sidesteps this problem by using proprietary photopolymer ceramic slurries rather than traditional shell materials. The supply chain for the photopolymer slurries is different and, at present, more controllable because production volume is still modest. Scaling the photopolymer slurry supply chain to serve a major new facility is a tractable problem if it is planned in advance, but it is not a problem that solves itself.</w:t>
      </w:r>
    </w:p>
    <w:p>
      <w:pPr>
        <w:pStyle w:val="Heading2"/>
        <w:spacing w:after="140" w:before="300" w:line="300"/>
      </w:pPr>
      <w:r>
        <w:rPr>
          <w:rFonts w:ascii="Calibri" w:cs="Calibri" w:eastAsia="Calibri" w:hAnsi="Calibri"/>
          <w:b/>
          <w:bCs/>
          <w:color w:val="1B2A4A"/>
          <w:sz w:val="28"/>
          <w:szCs w:val="28"/>
        </w:rPr>
        <w:t xml:space="preserve">8.3 Quantifying the Gap</w:t>
      </w:r>
    </w:p>
    <w:p>
      <w:pPr>
        <w:spacing w:after="120" w:before="60" w:line="300"/>
        <w:jc w:val="both"/>
      </w:pPr>
      <w:r>
        <w:rPr>
          <w:rFonts w:ascii="Calibri" w:cs="Calibri" w:eastAsia="Calibri" w:hAnsi="Calibri"/>
          <w:b w:val="false"/>
          <w:bCs w:val="false"/>
          <w:i w:val="false"/>
          <w:iCs w:val="false"/>
          <w:color w:val="2C2C2C"/>
          <w:sz w:val="22"/>
          <w:szCs w:val="22"/>
        </w:rPr>
        <w:t xml:space="preserve">A simplified gap analysis makes the scale of the problem concrete. Assume a Replicator 1 and Replicator 2 aggregate turbine propulsion demand at full rate of roughly fifty thousand microturbines per year across all platforms and all services. Assume an average of sixteen cast blades per microturbine across rotor stages, nozzles, and vanes. The resulting demand is approximately eight hundred thousand cast blades per year, or roughly seventy thousand per month. Adjusting for yield and rejected parts, gross production must exceed one hundred thousand blades per month to deliver seventy thousand salable blades.</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B2A4A" w:sz="4"/>
              <w:left w:val="single" w:color="1B2A4A" w:sz="24"/>
              <w:bottom w:val="single" w:color="1B2A4A" w:sz="4"/>
              <w:right w:val="single" w:color="1B2A4A" w:sz="4"/>
            </w:tcBorders>
            <w:shd w:fill="D5E8F0" w:val="clear"/>
            <w:tcMar>
              <w:top w:type="dxa" w:w="180"/>
              <w:left w:type="dxa" w:w="240"/>
              <w:bottom w:type="dxa" w:w="180"/>
              <w:right w:type="dxa" w:w="240"/>
            </w:tcMar>
          </w:tcPr>
          <w:p>
            <w:pPr>
              <w:spacing w:after="80" w:before="80"/>
            </w:pPr>
            <w:r>
              <w:rPr>
                <w:rFonts w:ascii="Calibri" w:cs="Calibri" w:eastAsia="Calibri" w:hAnsi="Calibri"/>
                <w:b/>
                <w:bCs/>
                <w:color w:val="1B2A4A"/>
                <w:sz w:val="22"/>
                <w:szCs w:val="22"/>
              </w:rPr>
              <w:t xml:space="preserve">GAP CALCULATION AT FULL RATE</w:t>
            </w:r>
          </w:p>
          <w:p>
            <w:pPr>
              <w:spacing w:after="40" w:before="40" w:line="280"/>
            </w:pPr>
            <w:r>
              <w:rPr>
                <w:rFonts w:ascii="Calibri" w:cs="Calibri" w:eastAsia="Calibri" w:hAnsi="Calibri"/>
                <w:b/>
                <w:bCs/>
                <w:i w:val="false"/>
                <w:iCs w:val="false"/>
                <w:color w:val="1B2A4A"/>
                <w:sz w:val="21"/>
                <w:szCs w:val="21"/>
              </w:rPr>
              <w:t xml:space="preserve">Aggregate Replicator propulsion demand. </w:t>
            </w:r>
            <w:r>
              <w:rPr>
                <w:rFonts w:ascii="Calibri" w:cs="Calibri" w:eastAsia="Calibri" w:hAnsi="Calibri"/>
                <w:b w:val="false"/>
                <w:bCs w:val="false"/>
                <w:i w:val="false"/>
                <w:iCs w:val="false"/>
                <w:color w:val="2C2C2C"/>
                <w:sz w:val="21"/>
                <w:szCs w:val="21"/>
              </w:rPr>
              <w:t xml:space="preserve">Approximately 50,000 microturbines per year at full rate across all services and platforms.</w:t>
            </w:r>
          </w:p>
          <w:p>
            <w:pPr>
              <w:spacing w:after="40" w:before="40" w:line="280"/>
            </w:pPr>
            <w:r>
              <w:rPr>
                <w:rFonts w:ascii="Calibri" w:cs="Calibri" w:eastAsia="Calibri" w:hAnsi="Calibri"/>
                <w:b/>
                <w:bCs/>
                <w:i w:val="false"/>
                <w:iCs w:val="false"/>
                <w:color w:val="1B2A4A"/>
                <w:sz w:val="21"/>
                <w:szCs w:val="21"/>
              </w:rPr>
              <w:t xml:space="preserve">Average cast airfoils per engine. </w:t>
            </w:r>
            <w:r>
              <w:rPr>
                <w:rFonts w:ascii="Calibri" w:cs="Calibri" w:eastAsia="Calibri" w:hAnsi="Calibri"/>
                <w:b w:val="false"/>
                <w:bCs w:val="false"/>
                <w:i w:val="false"/>
                <w:iCs w:val="false"/>
                <w:color w:val="2C2C2C"/>
                <w:sz w:val="21"/>
                <w:szCs w:val="21"/>
              </w:rPr>
              <w:t xml:space="preserve">Approximately 16 blades, vanes, and nozzles per engine, with some variation by architecture.</w:t>
            </w:r>
          </w:p>
          <w:p>
            <w:pPr>
              <w:spacing w:after="40" w:before="40" w:line="280"/>
            </w:pPr>
            <w:r>
              <w:rPr>
                <w:rFonts w:ascii="Calibri" w:cs="Calibri" w:eastAsia="Calibri" w:hAnsi="Calibri"/>
                <w:b/>
                <w:bCs/>
                <w:i w:val="false"/>
                <w:iCs w:val="false"/>
                <w:color w:val="1B2A4A"/>
                <w:sz w:val="21"/>
                <w:szCs w:val="21"/>
              </w:rPr>
              <w:t xml:space="preserve">Salable blade demand. </w:t>
            </w:r>
            <w:r>
              <w:rPr>
                <w:rFonts w:ascii="Calibri" w:cs="Calibri" w:eastAsia="Calibri" w:hAnsi="Calibri"/>
                <w:b w:val="false"/>
                <w:bCs w:val="false"/>
                <w:i w:val="false"/>
                <w:iCs w:val="false"/>
                <w:color w:val="2C2C2C"/>
                <w:sz w:val="21"/>
                <w:szCs w:val="21"/>
              </w:rPr>
              <w:t xml:space="preserve">Approximately 800,000 blades per year, or roughly 70,000 per month.</w:t>
            </w:r>
          </w:p>
          <w:p>
            <w:pPr>
              <w:spacing w:after="40" w:before="40" w:line="280"/>
            </w:pPr>
            <w:r>
              <w:rPr>
                <w:rFonts w:ascii="Calibri" w:cs="Calibri" w:eastAsia="Calibri" w:hAnsi="Calibri"/>
                <w:b/>
                <w:bCs/>
                <w:i w:val="false"/>
                <w:iCs w:val="false"/>
                <w:color w:val="1B2A4A"/>
                <w:sz w:val="21"/>
                <w:szCs w:val="21"/>
              </w:rPr>
              <w:t xml:space="preserve">Gross production requirement. </w:t>
            </w:r>
            <w:r>
              <w:rPr>
                <w:rFonts w:ascii="Calibri" w:cs="Calibri" w:eastAsia="Calibri" w:hAnsi="Calibri"/>
                <w:b w:val="false"/>
                <w:bCs w:val="false"/>
                <w:i w:val="false"/>
                <w:iCs w:val="false"/>
                <w:color w:val="2C2C2C"/>
                <w:sz w:val="21"/>
                <w:szCs w:val="21"/>
              </w:rPr>
              <w:t xml:space="preserve">Approximately 100,000 blades per month accounting for yield losses and inspection rejections.</w:t>
            </w:r>
          </w:p>
          <w:p>
            <w:pPr>
              <w:spacing w:after="40" w:before="40" w:line="280"/>
            </w:pPr>
            <w:r>
              <w:rPr>
                <w:rFonts w:ascii="Calibri" w:cs="Calibri" w:eastAsia="Calibri" w:hAnsi="Calibri"/>
                <w:b/>
                <w:bCs/>
                <w:i w:val="false"/>
                <w:iCs w:val="false"/>
                <w:color w:val="1B2A4A"/>
                <w:sz w:val="21"/>
                <w:szCs w:val="21"/>
              </w:rPr>
              <w:t xml:space="preserve">Current domestic attritable blade production capacity. </w:t>
            </w:r>
            <w:r>
              <w:rPr>
                <w:rFonts w:ascii="Calibri" w:cs="Calibri" w:eastAsia="Calibri" w:hAnsi="Calibri"/>
                <w:b w:val="false"/>
                <w:bCs w:val="false"/>
                <w:i w:val="false"/>
                <w:iCs w:val="false"/>
                <w:color w:val="2C2C2C"/>
                <w:sz w:val="21"/>
                <w:szCs w:val="21"/>
              </w:rPr>
              <w:t xml:space="preserve">A small fraction of this figure, with essentially zero spare capacity given commercial aviation commitments.</w:t>
            </w:r>
          </w:p>
        </w:tc>
      </w:tr>
    </w:tbl>
    <w:p>
      <w:pPr>
        <w:spacing w:after="200" w:before="0"/>
      </w:pPr>
      <w:r>
        <w:t xml:space="preserve"/>
      </w:r>
    </w:p>
    <w:p>
      <w:pPr>
        <w:pStyle w:val="Heading2"/>
        <w:spacing w:after="140" w:before="300" w:line="300"/>
      </w:pPr>
      <w:r>
        <w:rPr>
          <w:rFonts w:ascii="Calibri" w:cs="Calibri" w:eastAsia="Calibri" w:hAnsi="Calibri"/>
          <w:b/>
          <w:bCs/>
          <w:color w:val="1B2A4A"/>
          <w:sz w:val="28"/>
          <w:szCs w:val="28"/>
        </w:rPr>
        <w:t xml:space="preserve">8.4 Qualification Timeline Gap</w:t>
      </w:r>
    </w:p>
    <w:p>
      <w:pPr>
        <w:spacing w:after="120" w:before="60" w:line="300"/>
        <w:jc w:val="both"/>
      </w:pPr>
      <w:r>
        <w:rPr>
          <w:rFonts w:ascii="Calibri" w:cs="Calibri" w:eastAsia="Calibri" w:hAnsi="Calibri"/>
          <w:b w:val="false"/>
          <w:bCs w:val="false"/>
          <w:i w:val="false"/>
          <w:iCs w:val="false"/>
          <w:color w:val="2C2C2C"/>
          <w:sz w:val="22"/>
          <w:szCs w:val="22"/>
        </w:rPr>
        <w:t xml:space="preserve">Even if the raw capacity were available, the qualification timeline gap would still exist. Conventional qualification of a new MAR-M247 blade design or a new casting process routinely requires eighteen to thirty six months from program initiation to first flight worthy article. Replicator programs do not have that timeline available. A program that is expected to reach initial operational capability within eighteen to twenty four months of contract award cannot absorb a three year blade qualification.</w:t>
      </w:r>
    </w:p>
    <w:p>
      <w:pPr>
        <w:spacing w:after="120" w:before="60" w:line="300"/>
        <w:jc w:val="both"/>
      </w:pPr>
      <w:r>
        <w:rPr>
          <w:rFonts w:ascii="Calibri" w:cs="Calibri" w:eastAsia="Calibri" w:hAnsi="Calibri"/>
          <w:b w:val="false"/>
          <w:bCs w:val="false"/>
          <w:i w:val="false"/>
          <w:iCs w:val="false"/>
          <w:color w:val="2C2C2C"/>
          <w:sz w:val="22"/>
          <w:szCs w:val="22"/>
        </w:rPr>
        <w:t xml:space="preserve">The relaxed qualification pathway that attritable systems permit is the mechanism that can close this gap. Relaxed qualification does not mean relaxed safety. It means a re weighting of the qualification evidence toward statistical process control data and a narrowing of the qualification scope to the specific mission envelope of the attritable engine. Digital casting generates the statistical process control data at scale, which is why digital casting and relaxed qualification are natural partners. Without digital casting, the relaxed qualification pathway is an abstract concept with limited practical application.</w:t>
      </w:r>
    </w:p>
    <w:p>
      <w:pPr>
        <w:pStyle w:val="Heading2"/>
        <w:spacing w:after="140" w:before="300" w:line="300"/>
      </w:pPr>
      <w:r>
        <w:rPr>
          <w:rFonts w:ascii="Calibri" w:cs="Calibri" w:eastAsia="Calibri" w:hAnsi="Calibri"/>
          <w:b/>
          <w:bCs/>
          <w:color w:val="1B2A4A"/>
          <w:sz w:val="28"/>
          <w:szCs w:val="28"/>
        </w:rPr>
        <w:t xml:space="preserve">8.5 Labor and Workforce Gap</w:t>
      </w:r>
    </w:p>
    <w:p>
      <w:pPr>
        <w:spacing w:after="120" w:before="60" w:line="300"/>
        <w:jc w:val="both"/>
      </w:pPr>
      <w:r>
        <w:rPr>
          <w:rFonts w:ascii="Calibri" w:cs="Calibri" w:eastAsia="Calibri" w:hAnsi="Calibri"/>
          <w:b w:val="false"/>
          <w:bCs w:val="false"/>
          <w:i w:val="false"/>
          <w:iCs w:val="false"/>
          <w:color w:val="2C2C2C"/>
          <w:sz w:val="22"/>
          <w:szCs w:val="22"/>
        </w:rPr>
        <w:t xml:space="preserve">The U.S. foundry workforce has aged significantly over the past twenty years. Investment casting expertise is concentrated in a generation of operators, engineers, and metallurgists who are approaching retirement. The pipeline of replacement talent is thin, because domestic manufacturing education has not prioritized specialty metal casting, and because the compensation structure in commercial foundries has not kept pace with competing engineering roles.</w:t>
      </w:r>
    </w:p>
    <w:p>
      <w:pPr>
        <w:spacing w:after="120" w:before="60" w:line="300"/>
        <w:jc w:val="both"/>
      </w:pPr>
      <w:r>
        <w:rPr>
          <w:rFonts w:ascii="Calibri" w:cs="Calibri" w:eastAsia="Calibri" w:hAnsi="Calibri"/>
          <w:b w:val="false"/>
          <w:bCs w:val="false"/>
          <w:i w:val="false"/>
          <w:iCs w:val="false"/>
          <w:color w:val="2C2C2C"/>
          <w:sz w:val="22"/>
          <w:szCs w:val="22"/>
        </w:rPr>
        <w:t xml:space="preserve">A digital investment casting facility partially mitigates this gap because the digital process reduces the reliance on tacit foundry craft skills. It does not eliminate the need for skilled metallurgists and foundry operators, but it allows a leaner team to deliver the same output, and it allows that team to include a higher proportion of process engineers, software engineers, and data scientists. This changes the recruiting problem from a shrinking labor pool to a growing one, and it allows the new facility to draw talent from adjacent advanced manufacturing and semiconductor sectors rather than competing only for scarce traditional foundry talent.</w:t>
      </w:r>
    </w:p>
    <w:p>
      <w:pPr>
        <w:pStyle w:val="Heading2"/>
        <w:spacing w:after="140" w:before="300" w:line="300"/>
      </w:pPr>
      <w:r>
        <w:rPr>
          <w:rFonts w:ascii="Calibri" w:cs="Calibri" w:eastAsia="Calibri" w:hAnsi="Calibri"/>
          <w:b/>
          <w:bCs/>
          <w:color w:val="1B2A4A"/>
          <w:sz w:val="28"/>
          <w:szCs w:val="28"/>
        </w:rPr>
        <w:t xml:space="preserve">8.6 Hot Isostatic Pressing and Post-Processing Gap</w:t>
      </w:r>
    </w:p>
    <w:p>
      <w:pPr>
        <w:spacing w:after="120" w:before="60" w:line="300"/>
        <w:jc w:val="both"/>
      </w:pPr>
      <w:r>
        <w:rPr>
          <w:rFonts w:ascii="Calibri" w:cs="Calibri" w:eastAsia="Calibri" w:hAnsi="Calibri"/>
          <w:b w:val="false"/>
          <w:bCs w:val="false"/>
          <w:i w:val="false"/>
          <w:iCs w:val="false"/>
          <w:color w:val="2C2C2C"/>
          <w:sz w:val="22"/>
          <w:szCs w:val="22"/>
        </w:rPr>
        <w:t xml:space="preserve">A frequently overlooked dimension of the manufacturing gap is the downstream post-processing capacity, particularly hot isostatic pressing. HIP is essential for the fatigue performance of cast superalloy blades because it closes internal microporosity. Large industrial HIP vessels are few in number in the United States, and their schedules are tightly booked. A new foundry that cannot schedule HIP capacity on a predictable cadence will find itself holding inventory and delaying deliveries, regardless of its own foundry throughput.</w:t>
      </w:r>
    </w:p>
    <w:p>
      <w:pPr>
        <w:spacing w:after="120" w:before="60" w:line="300"/>
        <w:jc w:val="both"/>
      </w:pPr>
      <w:r>
        <w:rPr>
          <w:rFonts w:ascii="Calibri" w:cs="Calibri" w:eastAsia="Calibri" w:hAnsi="Calibri"/>
          <w:b w:val="false"/>
          <w:bCs w:val="false"/>
          <w:i w:val="false"/>
          <w:iCs w:val="false"/>
          <w:color w:val="2C2C2C"/>
          <w:sz w:val="22"/>
          <w:szCs w:val="22"/>
        </w:rPr>
        <w:t xml:space="preserve">The solution is to plan HIP capacity in parallel with foundry capacity, either through co-located HIP vessels at the new facility or through dedicated capacity partnerships with existing HIP providers. Similar planning is required for heat treatment, nondestructive inspection, and dimensional validation capacity. A facility plan that addresses only the foundry and ignores the post processing tail will fall short of its stated output commitments.</w:t>
      </w:r>
    </w:p>
    <w:p>
      <w:pPr>
        <w:pStyle w:val="Heading2"/>
        <w:spacing w:after="140" w:before="300" w:line="300"/>
      </w:pPr>
      <w:r>
        <w:rPr>
          <w:rFonts w:ascii="Calibri" w:cs="Calibri" w:eastAsia="Calibri" w:hAnsi="Calibri"/>
          <w:b/>
          <w:bCs/>
          <w:color w:val="1B2A4A"/>
          <w:sz w:val="28"/>
          <w:szCs w:val="28"/>
        </w:rPr>
        <w:t xml:space="preserve">8.7 Why Expansion of Existing Suppliers Is Insufficient</w:t>
      </w:r>
    </w:p>
    <w:p>
      <w:pPr>
        <w:spacing w:after="120" w:before="60" w:line="300"/>
        <w:jc w:val="both"/>
      </w:pPr>
      <w:r>
        <w:rPr>
          <w:rFonts w:ascii="Calibri" w:cs="Calibri" w:eastAsia="Calibri" w:hAnsi="Calibri"/>
          <w:b w:val="false"/>
          <w:bCs w:val="false"/>
          <w:i w:val="false"/>
          <w:iCs w:val="false"/>
          <w:color w:val="2C2C2C"/>
          <w:sz w:val="22"/>
          <w:szCs w:val="22"/>
        </w:rPr>
        <w:t xml:space="preserve">The natural first response to a capacity gap is to ask existing suppliers to expand. This is a useful partial response, and existing suppliers should be supported in any expansion they are willing to undertake. But it cannot close the gap by itself, for three reasons.</w:t>
      </w:r>
    </w:p>
    <w:p>
      <w:pPr>
        <w:spacing w:after="120" w:before="60" w:line="300"/>
        <w:jc w:val="both"/>
      </w:pPr>
      <w:r>
        <w:rPr>
          <w:rFonts w:ascii="Calibri" w:cs="Calibri" w:eastAsia="Calibri" w:hAnsi="Calibri"/>
          <w:b w:val="false"/>
          <w:bCs w:val="false"/>
          <w:i w:val="false"/>
          <w:iCs w:val="false"/>
          <w:color w:val="2C2C2C"/>
          <w:sz w:val="22"/>
          <w:szCs w:val="22"/>
        </w:rPr>
        <w:t xml:space="preserve">First, existing suppliers have rational allocation preferences that favor commercial aviation and exquisite defense aviation. An additional shift at an existing foundry will not, in general, be dedicated to attritable microturbine blades. It will be absorbed by higher-margin existing customers.</w:t>
      </w:r>
    </w:p>
    <w:p>
      <w:pPr>
        <w:spacing w:after="120" w:before="60" w:line="300"/>
        <w:jc w:val="both"/>
      </w:pPr>
      <w:r>
        <w:rPr>
          <w:rFonts w:ascii="Calibri" w:cs="Calibri" w:eastAsia="Calibri" w:hAnsi="Calibri"/>
          <w:b w:val="false"/>
          <w:bCs w:val="false"/>
          <w:i w:val="false"/>
          <w:iCs w:val="false"/>
          <w:color w:val="2C2C2C"/>
          <w:sz w:val="22"/>
          <w:szCs w:val="22"/>
        </w:rPr>
        <w:t xml:space="preserve">Second, existing suppliers use conventional casting processes with all of their structural limits. Additional capacity at an existing supplier adds additional conventional capacity, not digital capacity. The cost, lead time, and scrap characteristics of the incremental capacity are the same as the existing capacity. They do not close the cost and lead time gap that Replicator demands.</w:t>
      </w:r>
    </w:p>
    <w:p>
      <w:pPr>
        <w:spacing w:after="120" w:before="60" w:line="300"/>
        <w:jc w:val="both"/>
      </w:pPr>
      <w:r>
        <w:rPr>
          <w:rFonts w:ascii="Calibri" w:cs="Calibri" w:eastAsia="Calibri" w:hAnsi="Calibri"/>
          <w:b w:val="false"/>
          <w:bCs w:val="false"/>
          <w:i w:val="false"/>
          <w:iCs w:val="false"/>
          <w:color w:val="2C2C2C"/>
          <w:sz w:val="22"/>
          <w:szCs w:val="22"/>
        </w:rPr>
        <w:t xml:space="preserve">Third, existing suppliers face the same workforce, ceramic shell supply chain, and post-processing capacity constraints that any new entrant faces. Adding capacity at an existing supplier does not automatically solve the upstream and downstream constraints. Each expansion requires its own parallel investments in the full value chain.</w:t>
      </w:r>
    </w:p>
    <w:p>
      <w:pPr>
        <w:spacing w:after="120" w:before="60" w:line="300"/>
        <w:jc w:val="both"/>
      </w:pPr>
      <w:r>
        <w:rPr>
          <w:rFonts w:ascii="Calibri" w:cs="Calibri" w:eastAsia="Calibri" w:hAnsi="Calibri"/>
          <w:b w:val="false"/>
          <w:bCs w:val="false"/>
          <w:i w:val="false"/>
          <w:iCs w:val="false"/>
          <w:color w:val="2C2C2C"/>
          <w:sz w:val="22"/>
          <w:szCs w:val="22"/>
        </w:rPr>
        <w:t xml:space="preserve">The conclusion is that expansion of existing suppliers should be pursued in parallel with, not as a substitute for, new purpose-built digital investment casting facilities. The two are complementary, not competitive.</w:t>
      </w:r>
    </w:p>
    <w:p>
      <w:pPr>
        <w:pageBreakBefore/>
        <w:spacing w:after="60" w:before="200"/>
      </w:pPr>
      <w:r>
        <w:rPr>
          <w:rFonts w:ascii="Calibri" w:cs="Calibri" w:eastAsia="Calibri" w:hAnsi="Calibri"/>
          <w:b/>
          <w:bCs/>
          <w:color w:val="2E5C8A"/>
          <w:sz w:val="18"/>
          <w:szCs w:val="18"/>
        </w:rPr>
        <w:t xml:space="preserve">SECTION 9</w:t>
      </w:r>
    </w:p>
    <w:p>
      <w:pPr>
        <w:pStyle w:val="Heading1"/>
        <w:spacing w:after="200" w:before="400" w:line="300"/>
      </w:pPr>
      <w:r>
        <w:rPr>
          <w:rFonts w:ascii="Calibri" w:cs="Calibri" w:eastAsia="Calibri" w:hAnsi="Calibri"/>
          <w:b/>
          <w:bCs/>
          <w:color w:val="1B2A4A"/>
          <w:sz w:val="36"/>
          <w:szCs w:val="36"/>
        </w:rPr>
        <w:t xml:space="preserve">Digital Investment Casting as the Solution</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Digital investment casting is the manufacturing category that can close the Replicator propulsion gap. This section describes the category at a general level before Section 10 describes DDM Systems specific implementation in detail. The distinction matters because digital investment casting is a real category with multiple emerging practitioners, and the case for the category should be clear on its own merits before it is associated with any particular company.</w:t>
      </w:r>
    </w:p>
    <w:p>
      <w:pPr>
        <w:pStyle w:val="Heading2"/>
        <w:spacing w:after="140" w:before="300" w:line="300"/>
      </w:pPr>
      <w:r>
        <w:rPr>
          <w:rFonts w:ascii="Calibri" w:cs="Calibri" w:eastAsia="Calibri" w:hAnsi="Calibri"/>
          <w:b/>
          <w:bCs/>
          <w:color w:val="1B2A4A"/>
          <w:sz w:val="28"/>
          <w:szCs w:val="28"/>
        </w:rPr>
        <w:t xml:space="preserve">9.1 Definition</w:t>
      </w:r>
    </w:p>
    <w:p>
      <w:pPr>
        <w:spacing w:after="120" w:before="60" w:line="300"/>
        <w:jc w:val="both"/>
      </w:pPr>
      <w:r>
        <w:rPr>
          <w:rFonts w:ascii="Calibri" w:cs="Calibri" w:eastAsia="Calibri" w:hAnsi="Calibri"/>
          <w:b w:val="false"/>
          <w:bCs w:val="false"/>
          <w:i w:val="false"/>
          <w:iCs w:val="false"/>
          <w:color w:val="2C2C2C"/>
          <w:sz w:val="22"/>
          <w:szCs w:val="22"/>
        </w:rPr>
        <w:t xml:space="preserve">Digital investment casting is an end-to-end process in which the conventional hard tooling and wax pattern path is replaced by direct additive fabrication of the ceramic shell with integrated cores, followed by conventional foundry operations to pour, solidify, and finish the metal part. The shell is produced directly from a computer-aided design model, without intermediate tooling. The rest of the value chain, including vacuum induction melting, directional solidification or single crystal growth, hot isostatic pressing, heat treatment, and inspection, remains largely unchanged.</w:t>
      </w:r>
    </w:p>
    <w:p>
      <w:pPr>
        <w:spacing w:after="120" w:before="60" w:line="300"/>
        <w:jc w:val="both"/>
      </w:pPr>
      <w:r>
        <w:rPr>
          <w:rFonts w:ascii="Calibri" w:cs="Calibri" w:eastAsia="Calibri" w:hAnsi="Calibri"/>
          <w:b w:val="false"/>
          <w:bCs w:val="false"/>
          <w:i w:val="false"/>
          <w:iCs w:val="false"/>
          <w:color w:val="2C2C2C"/>
          <w:sz w:val="22"/>
          <w:szCs w:val="22"/>
        </w:rPr>
        <w:t xml:space="preserve">The economic and programmatic effect is that the tooling investment, the tooling lead time, and much of the labor in shell build are eliminated. The scrap sources associated with wax pattern defects, slurry coating variability, and stucco build inconsistency are removed. The digital process captures every parameter of every build, producing a statistical process control data set that supports relaxed qualification pathways.</w:t>
      </w:r>
    </w:p>
    <w:p>
      <w:pPr>
        <w:pStyle w:val="Heading2"/>
        <w:spacing w:after="140" w:before="300" w:line="300"/>
      </w:pPr>
      <w:r>
        <w:rPr>
          <w:rFonts w:ascii="Calibri" w:cs="Calibri" w:eastAsia="Calibri" w:hAnsi="Calibri"/>
          <w:b/>
          <w:bCs/>
          <w:color w:val="1B2A4A"/>
          <w:sz w:val="28"/>
          <w:szCs w:val="28"/>
        </w:rPr>
        <w:t xml:space="preserve">9.2 Core Technology Building Blocks</w:t>
      </w:r>
    </w:p>
    <w:p>
      <w:pPr>
        <w:spacing w:after="120" w:before="60" w:line="300"/>
        <w:jc w:val="both"/>
      </w:pPr>
      <w:r>
        <w:rPr>
          <w:rFonts w:ascii="Calibri" w:cs="Calibri" w:eastAsia="Calibri" w:hAnsi="Calibri"/>
          <w:b w:val="false"/>
          <w:bCs w:val="false"/>
          <w:i w:val="false"/>
          <w:iCs w:val="false"/>
          <w:color w:val="2C2C2C"/>
          <w:sz w:val="22"/>
          <w:szCs w:val="22"/>
        </w:rPr>
        <w:t xml:space="preserve">Digital investment casting rests on four technology building blocks that together define the category.</w:t>
      </w:r>
    </w:p>
    <w:p>
      <w:pPr>
        <w:pStyle w:val="Heading4"/>
        <w:spacing w:after="80" w:before="180" w:line="280"/>
      </w:pPr>
      <w:r>
        <w:rPr>
          <w:rFonts w:ascii="Calibri" w:cs="Calibri" w:eastAsia="Calibri" w:hAnsi="Calibri"/>
          <w:b/>
          <w:bCs/>
          <w:color w:val="0F1B33"/>
          <w:sz w:val="22"/>
          <w:szCs w:val="22"/>
        </w:rPr>
        <w:t xml:space="preserve">Ceramic Photopolymerization or Analogous Additive Methods</w:t>
      </w:r>
    </w:p>
    <w:p>
      <w:pPr>
        <w:spacing w:after="120" w:before="60" w:line="300"/>
        <w:jc w:val="both"/>
      </w:pPr>
      <w:r>
        <w:rPr>
          <w:rFonts w:ascii="Calibri" w:cs="Calibri" w:eastAsia="Calibri" w:hAnsi="Calibri"/>
          <w:b w:val="false"/>
          <w:bCs w:val="false"/>
          <w:i w:val="false"/>
          <w:iCs w:val="false"/>
          <w:color w:val="2C2C2C"/>
          <w:sz w:val="22"/>
          <w:szCs w:val="22"/>
        </w:rPr>
        <w:t xml:space="preserve">A printing technology that produces green ceramic shells from photopolymerizable slurries or analogous feedstocks. This is the specific innovation that DDM Systems pioneered under the LAMP platform. Competing approaches include binder jetting, vat photopolymerization with different chemistries and slip cast deposition. The common property is that a green ceramic body is produced directly from a CAD file in a controlled additive process.</w:t>
      </w:r>
    </w:p>
    <w:p>
      <w:pPr>
        <w:pStyle w:val="Heading4"/>
        <w:spacing w:after="80" w:before="180" w:line="280"/>
      </w:pPr>
      <w:r>
        <w:rPr>
          <w:rFonts w:ascii="Calibri" w:cs="Calibri" w:eastAsia="Calibri" w:hAnsi="Calibri"/>
          <w:b/>
          <w:bCs/>
          <w:color w:val="0F1B33"/>
          <w:sz w:val="22"/>
          <w:szCs w:val="22"/>
        </w:rPr>
        <w:t xml:space="preserve">High-Temperature Ceramic Firing and Debinding</w:t>
      </w:r>
    </w:p>
    <w:p>
      <w:pPr>
        <w:spacing w:after="120" w:before="60" w:line="300"/>
        <w:jc w:val="both"/>
      </w:pPr>
      <w:r>
        <w:rPr>
          <w:rFonts w:ascii="Calibri" w:cs="Calibri" w:eastAsia="Calibri" w:hAnsi="Calibri"/>
          <w:b w:val="false"/>
          <w:bCs w:val="false"/>
          <w:i w:val="false"/>
          <w:iCs w:val="false"/>
          <w:color w:val="2C2C2C"/>
          <w:sz w:val="22"/>
          <w:szCs w:val="22"/>
        </w:rPr>
        <w:t xml:space="preserve">A thermal cycle that burns out the organic binder and sinters the ceramic to full strength. The firing cycle must be matched to the specific ceramic formulation and to the intended pour temperature and alloy. Getting this right requires significant empirical optimization and is a central part of the trade secret content at a mature digital casting operation.</w:t>
      </w:r>
    </w:p>
    <w:p>
      <w:pPr>
        <w:pStyle w:val="Heading4"/>
        <w:spacing w:after="80" w:before="180" w:line="280"/>
      </w:pPr>
      <w:r>
        <w:rPr>
          <w:rFonts w:ascii="Calibri" w:cs="Calibri" w:eastAsia="Calibri" w:hAnsi="Calibri"/>
          <w:b/>
          <w:bCs/>
          <w:color w:val="0F1B33"/>
          <w:sz w:val="22"/>
          <w:szCs w:val="22"/>
        </w:rPr>
        <w:t xml:space="preserve">Foundry Integration</w:t>
      </w:r>
    </w:p>
    <w:p>
      <w:pPr>
        <w:spacing w:after="120" w:before="60" w:line="300"/>
        <w:jc w:val="both"/>
      </w:pPr>
      <w:r>
        <w:rPr>
          <w:rFonts w:ascii="Calibri" w:cs="Calibri" w:eastAsia="Calibri" w:hAnsi="Calibri"/>
          <w:b w:val="false"/>
          <w:bCs w:val="false"/>
          <w:i w:val="false"/>
          <w:iCs w:val="false"/>
          <w:color w:val="2C2C2C"/>
          <w:sz w:val="22"/>
          <w:szCs w:val="22"/>
        </w:rPr>
        <w:t xml:space="preserve">A process interface that allows the digitally printed shell to be poured by a conventional foundry using vacuum induction melting, directional solidification, or single crystal growth equipment. This is the portion of the value chain where digital casting leans heavily on fifty years of foundry expertise, and it is the portion that must not be disrupted. A successful digital casting operation partners with capable conventional foundries rather than trying to displace them.</w:t>
      </w:r>
    </w:p>
    <w:p>
      <w:pPr>
        <w:pStyle w:val="Heading4"/>
        <w:spacing w:after="80" w:before="180" w:line="280"/>
      </w:pPr>
      <w:r>
        <w:rPr>
          <w:rFonts w:ascii="Calibri" w:cs="Calibri" w:eastAsia="Calibri" w:hAnsi="Calibri"/>
          <w:b/>
          <w:bCs/>
          <w:color w:val="0F1B33"/>
          <w:sz w:val="22"/>
          <w:szCs w:val="22"/>
        </w:rPr>
        <w:t xml:space="preserve">Digital Process Control and Statistical Analytics</w:t>
      </w:r>
    </w:p>
    <w:p>
      <w:pPr>
        <w:spacing w:after="120" w:before="60" w:line="300"/>
        <w:jc w:val="both"/>
      </w:pPr>
      <w:r>
        <w:rPr>
          <w:rFonts w:ascii="Calibri" w:cs="Calibri" w:eastAsia="Calibri" w:hAnsi="Calibri"/>
          <w:b w:val="false"/>
          <w:bCs w:val="false"/>
          <w:i w:val="false"/>
          <w:iCs w:val="false"/>
          <w:color w:val="2C2C2C"/>
          <w:sz w:val="22"/>
          <w:szCs w:val="22"/>
        </w:rPr>
        <w:t xml:space="preserve">A data architecture that captures shell build parameters, firing profiles, pour conditions, solidification traces, heat treatment cycles, and inspection results, associates them with each part by serial number, and enables statistical process control and qualification evidence generation. This is the portion of the value chain that most directly supports relaxed attritable qualification and that justifies the production economics of the attritable mission.</w:t>
      </w:r>
    </w:p>
    <w:p>
      <w:pPr>
        <w:spacing w:after="160" w:before="0"/>
      </w:pPr>
      <w:r>
        <w:t xml:space="preserve"/>
      </w:r>
    </w:p>
    <w:p>
      <w:pPr>
        <w:pStyle w:val="Heading2"/>
        <w:spacing w:after="140" w:before="300" w:line="300"/>
      </w:pPr>
      <w:r>
        <w:rPr>
          <w:rFonts w:ascii="Calibri" w:cs="Calibri" w:eastAsia="Calibri" w:hAnsi="Calibri"/>
          <w:b/>
          <w:bCs/>
          <w:color w:val="1B2A4A"/>
          <w:sz w:val="28"/>
          <w:szCs w:val="28"/>
        </w:rPr>
        <w:t xml:space="preserve">9.3 Representative Performance Advantages</w:t>
      </w:r>
    </w:p>
    <w:p>
      <w:pPr>
        <w:spacing w:after="8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3510"/>
        <w:gridCol w:w="3510"/>
      </w:tblGrid>
      <w:tr>
        <w:trPr>
          <w:cantSplit/>
          <w:tblHeader/>
        </w:trPr>
        <w:tc>
          <w:tcPr>
            <w:tcW w:type="dxa" w:w="234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Metric</w:t>
            </w:r>
          </w:p>
        </w:tc>
        <w:tc>
          <w:tcPr>
            <w:tcW w:type="dxa" w:w="351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Conventional Investment Casting</w:t>
            </w:r>
          </w:p>
        </w:tc>
        <w:tc>
          <w:tcPr>
            <w:tcW w:type="dxa" w:w="351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Digital Investment Casting</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Process steps</w:t>
            </w:r>
          </w:p>
        </w:tc>
        <w:tc>
          <w:tcPr>
            <w:tcW w:type="dxa" w:w="351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12 principal steps</w:t>
            </w:r>
          </w:p>
        </w:tc>
        <w:tc>
          <w:tcPr>
            <w:tcW w:type="dxa" w:w="351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5 principal steps</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Hard tooling per design</w:t>
            </w:r>
          </w:p>
        </w:tc>
        <w:tc>
          <w:tcPr>
            <w:tcW w:type="dxa" w:w="351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Substantial capital outlay</w:t>
            </w:r>
          </w:p>
        </w:tc>
        <w:tc>
          <w:tcPr>
            <w:tcW w:type="dxa" w:w="351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Zero</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First article lead time</w:t>
            </w:r>
          </w:p>
        </w:tc>
        <w:tc>
          <w:tcPr>
            <w:tcW w:type="dxa" w:w="351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12 to 18 months</w:t>
            </w:r>
          </w:p>
        </w:tc>
        <w:tc>
          <w:tcPr>
            <w:tcW w:type="dxa" w:w="351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10 days to 10 weeks</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Delivered cost per-kilogram</w:t>
            </w:r>
          </w:p>
        </w:tc>
        <w:tc>
          <w:tcPr>
            <w:tcW w:type="dxa" w:w="351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Premium aerospace pricing</w:t>
            </w:r>
          </w:p>
        </w:tc>
        <w:tc>
          <w:tcPr>
            <w:tcW w:type="dxa" w:w="351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30 to 50 percent reduction</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Scrap rate</w:t>
            </w:r>
          </w:p>
        </w:tc>
        <w:tc>
          <w:tcPr>
            <w:tcW w:type="dxa" w:w="351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15 to 40 percent</w:t>
            </w:r>
          </w:p>
        </w:tc>
        <w:tc>
          <w:tcPr>
            <w:tcW w:type="dxa" w:w="351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Approximately 90 percent reduction in scrap sources</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Qualification pathway</w:t>
            </w:r>
          </w:p>
        </w:tc>
        <w:tc>
          <w:tcPr>
            <w:tcW w:type="dxa" w:w="351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Paper based, 18 to 36 months</w:t>
            </w:r>
          </w:p>
        </w:tc>
        <w:tc>
          <w:tcPr>
            <w:tcW w:type="dxa" w:w="351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Digital process control, months</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Design iteration</w:t>
            </w:r>
          </w:p>
        </w:tc>
        <w:tc>
          <w:tcPr>
            <w:tcW w:type="dxa" w:w="351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Tied to tooling, months</w:t>
            </w:r>
          </w:p>
        </w:tc>
        <w:tc>
          <w:tcPr>
            <w:tcW w:type="dxa" w:w="351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Software driven, days</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Energy use per part</w:t>
            </w:r>
          </w:p>
        </w:tc>
        <w:tc>
          <w:tcPr>
            <w:tcW w:type="dxa" w:w="351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Baseline</w:t>
            </w:r>
          </w:p>
        </w:tc>
        <w:tc>
          <w:tcPr>
            <w:tcW w:type="dxa" w:w="351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Up to 90 percent reduction validated in ARPA-E work</w:t>
            </w:r>
          </w:p>
        </w:tc>
      </w:tr>
    </w:tbl>
    <w:p>
      <w:pPr>
        <w:spacing w:after="200" w:before="0"/>
      </w:pPr>
      <w:r>
        <w:t xml:space="preserve"/>
      </w:r>
    </w:p>
    <w:p>
      <w:pPr>
        <w:pStyle w:val="Heading2"/>
        <w:spacing w:after="140" w:before="300" w:line="300"/>
      </w:pPr>
      <w:r>
        <w:rPr>
          <w:rFonts w:ascii="Calibri" w:cs="Calibri" w:eastAsia="Calibri" w:hAnsi="Calibri"/>
          <w:b/>
          <w:bCs/>
          <w:color w:val="1B2A4A"/>
          <w:sz w:val="28"/>
          <w:szCs w:val="28"/>
        </w:rPr>
        <w:t xml:space="preserve">9.4 What Digital Casting Does Not Replace</w:t>
      </w:r>
    </w:p>
    <w:p>
      <w:pPr>
        <w:spacing w:after="120" w:before="60" w:line="300"/>
        <w:jc w:val="both"/>
      </w:pPr>
      <w:r>
        <w:rPr>
          <w:rFonts w:ascii="Calibri" w:cs="Calibri" w:eastAsia="Calibri" w:hAnsi="Calibri"/>
          <w:b w:val="false"/>
          <w:bCs w:val="false"/>
          <w:i w:val="false"/>
          <w:iCs w:val="false"/>
          <w:color w:val="2C2C2C"/>
          <w:sz w:val="22"/>
          <w:szCs w:val="22"/>
        </w:rPr>
        <w:t xml:space="preserve">It is worth being explicit about what digital investment casting does not replace, because the category is sometimes described with an enthusiasm that obscures the genuine complementarity between old and new. Digital investment casting does not replace vacuum induction melting of nickel superalloys. It does not replace directional solidification or single crystal furnaces. It does not replace hot isostatic pressing, although HIP capacity must be expanded to match new output. It does not replace heat treatment or nondestructive inspection.</w:t>
      </w:r>
    </w:p>
    <w:p>
      <w:pPr>
        <w:spacing w:after="120" w:before="60" w:line="300"/>
        <w:jc w:val="both"/>
      </w:pPr>
      <w:r>
        <w:rPr>
          <w:rFonts w:ascii="Calibri" w:cs="Calibri" w:eastAsia="Calibri" w:hAnsi="Calibri"/>
          <w:b w:val="false"/>
          <w:bCs w:val="false"/>
          <w:i w:val="false"/>
          <w:iCs w:val="false"/>
          <w:color w:val="2C2C2C"/>
          <w:sz w:val="22"/>
          <w:szCs w:val="22"/>
        </w:rPr>
        <w:t xml:space="preserve">The role of digital investment casting is specifically in the shell build and in the information architecture that flows from the shell build through the downstream foundry operations. This scope is narrow but critical. It is the scope where most of the cost and lead time of conventional investment casting accumulates, and it is therefore the scope whose disruption unlocks the attritable microturbine economics that Replicator requires.</w:t>
      </w:r>
    </w:p>
    <w:p>
      <w:pPr>
        <w:pStyle w:val="Heading2"/>
        <w:spacing w:after="140" w:before="300" w:line="300"/>
      </w:pPr>
      <w:r>
        <w:rPr>
          <w:rFonts w:ascii="Calibri" w:cs="Calibri" w:eastAsia="Calibri" w:hAnsi="Calibri"/>
          <w:b/>
          <w:bCs/>
          <w:color w:val="1B2A4A"/>
          <w:sz w:val="28"/>
          <w:szCs w:val="28"/>
        </w:rPr>
        <w:t xml:space="preserve">9.5 Evidence of Maturity</w:t>
      </w:r>
    </w:p>
    <w:p>
      <w:pPr>
        <w:spacing w:after="120" w:before="60" w:line="300"/>
        <w:jc w:val="both"/>
      </w:pPr>
      <w:r>
        <w:rPr>
          <w:rFonts w:ascii="Calibri" w:cs="Calibri" w:eastAsia="Calibri" w:hAnsi="Calibri"/>
          <w:b w:val="false"/>
          <w:bCs w:val="false"/>
          <w:i w:val="false"/>
          <w:iCs w:val="false"/>
          <w:color w:val="2C2C2C"/>
          <w:sz w:val="22"/>
          <w:szCs w:val="22"/>
        </w:rPr>
        <w:t xml:space="preserve">Digital investment casting is not a research category. It is a production category with established references. DDM Systems has delivered castings for legacy United States Air Force platforms including the A-10 Thunderbolt II, and for industrial gas turbine programs at GE Vernova. A parallel ARPA-E program with GE demonstrated up to ninety percent energy savings and yield improvements from forty percent to ninety percent in gas turbine component casting. A prior multi year strategic partnership with Signicast, a member of the Form Technologies family and one of the largest investment casting operations in the United States, extended DDM Systems production experience across several years of commercial foundry integration. Active engagements with Northrop Grumman on USAF hypersonic missile system castings and with Eaton Aerospace on a planned Digital Foundry installation in the United Kingdom further demonstrate production maturity across hypersonic, aerospace, and industrial hot section applications.</w:t>
      </w:r>
    </w:p>
    <w:p>
      <w:pPr>
        <w:spacing w:after="120" w:before="60" w:line="300"/>
        <w:jc w:val="both"/>
      </w:pPr>
      <w:r>
        <w:rPr>
          <w:rFonts w:ascii="Calibri" w:cs="Calibri" w:eastAsia="Calibri" w:hAnsi="Calibri"/>
          <w:b w:val="false"/>
          <w:bCs w:val="false"/>
          <w:i w:val="false"/>
          <w:iCs w:val="false"/>
          <w:color w:val="2C2C2C"/>
          <w:sz w:val="22"/>
          <w:szCs w:val="22"/>
        </w:rPr>
        <w:t xml:space="preserve">These references establish that the category is real, the technology is operational at production scale, and the commercial case is proven. The remaining question is industrial-scale up to meet the Replicator demand specifically, and it is this question that the final sections of the paper address.</w:t>
      </w:r>
    </w:p>
    <w:p>
      <w:pPr>
        <w:pStyle w:val="Heading2"/>
        <w:spacing w:after="140" w:before="300" w:line="300"/>
      </w:pPr>
      <w:r>
        <w:rPr>
          <w:rFonts w:ascii="Calibri" w:cs="Calibri" w:eastAsia="Calibri" w:hAnsi="Calibri"/>
          <w:b/>
          <w:bCs/>
          <w:color w:val="1B2A4A"/>
          <w:sz w:val="28"/>
          <w:szCs w:val="28"/>
        </w:rPr>
        <w:t xml:space="preserve">9.6 The Relaxed Qualification Partnership</w:t>
      </w:r>
    </w:p>
    <w:p>
      <w:pPr>
        <w:spacing w:after="120" w:before="60" w:line="300"/>
        <w:jc w:val="both"/>
      </w:pPr>
      <w:r>
        <w:rPr>
          <w:rFonts w:ascii="Calibri" w:cs="Calibri" w:eastAsia="Calibri" w:hAnsi="Calibri"/>
          <w:b w:val="false"/>
          <w:bCs w:val="false"/>
          <w:i w:val="false"/>
          <w:iCs w:val="false"/>
          <w:color w:val="2C2C2C"/>
          <w:sz w:val="22"/>
          <w:szCs w:val="22"/>
        </w:rPr>
        <w:t xml:space="preserve">A final point worth underscoring is the structural partnership between digital casting and the relaxed qualification pathway for attritable systems. The relaxed pathway is not a discretionary concession. It is a specific regulatory framework that the Department of Defense has committed to for attritable systems, and it imposes specific evidentiary requirements that must be met for the streamlined qualification to apply.</w:t>
      </w:r>
    </w:p>
    <w:p>
      <w:pPr>
        <w:spacing w:after="120" w:before="60" w:line="300"/>
        <w:jc w:val="both"/>
      </w:pPr>
      <w:r>
        <w:rPr>
          <w:rFonts w:ascii="Calibri" w:cs="Calibri" w:eastAsia="Calibri" w:hAnsi="Calibri"/>
          <w:b w:val="false"/>
          <w:bCs w:val="false"/>
          <w:i w:val="false"/>
          <w:iCs w:val="false"/>
          <w:color w:val="2C2C2C"/>
          <w:sz w:val="22"/>
          <w:szCs w:val="22"/>
        </w:rPr>
        <w:t xml:space="preserve">Digital casting generates precisely the evidentiary record that the relaxed pathway requires. Every shell carries a digital birth certificate. Every pour is instrumented. Every inspection result is linked to the build parameters. The resulting statistical process control dataset supports qualification at a fidelity that conventional paper-based qualification cannot match, and it does so in a timeline that is compatible with Replicator fielding targets. Digital casting and relaxed qualification are therefore natural partners, and the Replicator program will benefit from explicit policy coordination between the two.</w:t>
      </w:r>
    </w:p>
    <w:p>
      <w:pPr>
        <w:pageBreakBefore/>
        <w:spacing w:after="60" w:before="200"/>
      </w:pPr>
      <w:r>
        <w:rPr>
          <w:rFonts w:ascii="Calibri" w:cs="Calibri" w:eastAsia="Calibri" w:hAnsi="Calibri"/>
          <w:b/>
          <w:bCs/>
          <w:color w:val="2E5C8A"/>
          <w:sz w:val="18"/>
          <w:szCs w:val="18"/>
        </w:rPr>
        <w:t xml:space="preserve">SECTION 10</w:t>
      </w:r>
    </w:p>
    <w:p>
      <w:pPr>
        <w:pStyle w:val="Heading1"/>
        <w:spacing w:after="200" w:before="400" w:line="300"/>
      </w:pPr>
      <w:r>
        <w:rPr>
          <w:rFonts w:ascii="Calibri" w:cs="Calibri" w:eastAsia="Calibri" w:hAnsi="Calibri"/>
          <w:b/>
          <w:bCs/>
          <w:color w:val="1B2A4A"/>
          <w:sz w:val="36"/>
          <w:szCs w:val="36"/>
        </w:rPr>
        <w:t xml:space="preserve">The DDM Systems Technology Stack</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This section describes DDM Systems specific implementation of digital investment casting in detail. The purpose is not to claim exclusivity over the category, which would be inconsistent with the national security framing of the paper, but to show that at least one operational implementation already exists at a level of maturity that justifies near-term industrial deployment. A Replicator-aligned facility based on the DDM Systems technology stack can reach initial operating capability on the timeline the nation requires.</w:t>
      </w:r>
    </w:p>
    <w:p>
      <w:pPr>
        <w:pStyle w:val="Heading2"/>
        <w:spacing w:after="140" w:before="300" w:line="300"/>
      </w:pPr>
      <w:r>
        <w:rPr>
          <w:rFonts w:ascii="Calibri" w:cs="Calibri" w:eastAsia="Calibri" w:hAnsi="Calibri"/>
          <w:b/>
          <w:bCs/>
          <w:color w:val="1B2A4A"/>
          <w:sz w:val="28"/>
          <w:szCs w:val="28"/>
        </w:rPr>
        <w:t xml:space="preserve">10.1 Origin and Maturation</w:t>
      </w:r>
    </w:p>
    <w:p>
      <w:pPr>
        <w:spacing w:after="120" w:before="60" w:line="300"/>
        <w:jc w:val="both"/>
      </w:pPr>
      <w:r>
        <w:rPr>
          <w:rFonts w:ascii="Calibri" w:cs="Calibri" w:eastAsia="Calibri" w:hAnsi="Calibri"/>
          <w:b w:val="false"/>
          <w:bCs w:val="false"/>
          <w:i w:val="false"/>
          <w:iCs w:val="false"/>
          <w:color w:val="2C2C2C"/>
          <w:sz w:val="22"/>
          <w:szCs w:val="22"/>
        </w:rPr>
        <w:t xml:space="preserve">DDM Systems originated in 2006 under a DARPA Disruptive Manufacturing Technologies solicitation that asked for manufacturing technologies capable of fundamentally changing the cost and lead time profile of high performance components. Dr. Suman Das, then at Georgia Tech, proposed a ceramic additive approach to investment casting mold production that would eliminate the tooling and wax pattern path and deliver a ready to pour shell directly from a CAD file.</w:t>
      </w:r>
    </w:p>
    <w:p>
      <w:pPr>
        <w:spacing w:after="120" w:before="60" w:line="300"/>
        <w:jc w:val="both"/>
      </w:pPr>
      <w:r>
        <w:rPr>
          <w:rFonts w:ascii="Calibri" w:cs="Calibri" w:eastAsia="Calibri" w:hAnsi="Calibri"/>
          <w:b w:val="false"/>
          <w:bCs w:val="false"/>
          <w:i w:val="false"/>
          <w:iCs w:val="false"/>
          <w:color w:val="2C2C2C"/>
          <w:sz w:val="22"/>
          <w:szCs w:val="22"/>
        </w:rPr>
        <w:t xml:space="preserve">Five years of DARPA funded research proved the feasibility of the approach. DDM Systems was founded in 2012 to commercialize the technology. Between 2012 and 2026, the company accumulated over twenty six patents across six countries, built an Atlanta headquarters with active production, completed a major ARPA-E contract with GE Vernova to demonstrate energy and yield advantages in gas turbine component casting, and established reference deployments with the Department of Defense, several primes, and a leading commercial foundry partner.</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B2A4A" w:sz="4"/>
              <w:left w:val="single" w:color="1B2A4A" w:sz="24"/>
              <w:bottom w:val="single" w:color="1B2A4A" w:sz="4"/>
              <w:right w:val="single" w:color="1B2A4A" w:sz="4"/>
            </w:tcBorders>
            <w:shd w:fill="EBF2F7" w:val="clear"/>
            <w:tcMar>
              <w:top w:type="dxa" w:w="180"/>
              <w:left w:type="dxa" w:w="240"/>
              <w:bottom w:type="dxa" w:w="180"/>
              <w:right w:type="dxa" w:w="240"/>
            </w:tcMar>
          </w:tcPr>
          <w:p>
            <w:pPr>
              <w:spacing w:after="80" w:before="80"/>
            </w:pPr>
            <w:r>
              <w:rPr>
                <w:rFonts w:ascii="Calibri" w:cs="Calibri" w:eastAsia="Calibri" w:hAnsi="Calibri"/>
                <w:b/>
                <w:bCs/>
                <w:color w:val="1B2A4A"/>
                <w:sz w:val="22"/>
                <w:szCs w:val="22"/>
              </w:rPr>
              <w:t xml:space="preserve">HISTORIC RECOGNITION</w:t>
            </w:r>
          </w:p>
          <w:p>
            <w:pPr>
              <w:spacing w:after="40" w:before="40" w:line="280"/>
            </w:pPr>
            <w:r>
              <w:rPr>
                <w:rFonts w:ascii="Calibri" w:cs="Calibri" w:eastAsia="Calibri" w:hAnsi="Calibri"/>
                <w:color w:val="2C2C2C"/>
                <w:sz w:val="21"/>
                <w:szCs w:val="21"/>
              </w:rPr>
              <w:t xml:space="preserve">In 2016, DDM Systems became the first U.S. company in history to be selected as a finalist for the prestigious Hermes Award at Hannover Messe. Dr. Suman Das received recognition from U.S. President Barack Obama and German Chancellor Angela Merkel for this achievement. The Hermes Award is widely regarded as the highest international recognition for innovation in industrial technology.</w:t>
            </w:r>
          </w:p>
        </w:tc>
      </w:tr>
    </w:tbl>
    <w:p>
      <w:pPr>
        <w:spacing w:after="160" w:before="0"/>
      </w:pPr>
      <w:r>
        <w:t xml:space="preserve"/>
      </w:r>
    </w:p>
    <w:p>
      <w:pPr>
        <w:pStyle w:val="Heading2"/>
        <w:spacing w:after="140" w:before="300" w:line="300"/>
      </w:pPr>
      <w:r>
        <w:rPr>
          <w:rFonts w:ascii="Calibri" w:cs="Calibri" w:eastAsia="Calibri" w:hAnsi="Calibri"/>
          <w:b/>
          <w:bCs/>
          <w:color w:val="1B2A4A"/>
          <w:sz w:val="28"/>
          <w:szCs w:val="28"/>
        </w:rPr>
        <w:t xml:space="preserve">10.2 LAMP, Large Area Maskless Photopolymerization</w:t>
      </w:r>
    </w:p>
    <w:p>
      <w:pPr>
        <w:spacing w:after="120" w:before="60" w:line="300"/>
        <w:jc w:val="both"/>
      </w:pPr>
      <w:r>
        <w:rPr>
          <w:rFonts w:ascii="Calibri" w:cs="Calibri" w:eastAsia="Calibri" w:hAnsi="Calibri"/>
          <w:b w:val="false"/>
          <w:bCs w:val="false"/>
          <w:i w:val="false"/>
          <w:iCs w:val="false"/>
          <w:color w:val="2C2C2C"/>
          <w:sz w:val="22"/>
          <w:szCs w:val="22"/>
        </w:rPr>
        <w:t xml:space="preserve">LAMP™ is the core ceramic three-dimensional printing technology in the DDM Systems stack. It uses a proprietary photopolymerizable ceramic slurry, deposited in layers of approximately one hundred microns, that is selectively cured by patterned ultraviolet light. The resulting green ceramic structure is then debinded and fired at high-temperature to produce a fully dense ceramic shell with integrated cores, ready for a conventional foundry pour.</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8"/>
        <w:gridCol w:w="3276"/>
        <w:gridCol w:w="3276"/>
      </w:tblGrid>
      <w:tr>
        <w:trPr>
          <w:cantSplit/>
          <w:tblHeader/>
        </w:trPr>
        <w:tc>
          <w:tcPr>
            <w:tcW w:type="dxa" w:w="2808"/>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Parameter</w:t>
            </w:r>
          </w:p>
        </w:tc>
        <w:tc>
          <w:tcPr>
            <w:tcW w:type="dxa" w:w="3276"/>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Prototyping</w:t>
            </w:r>
          </w:p>
        </w:tc>
        <w:tc>
          <w:tcPr>
            <w:tcW w:type="dxa" w:w="3276"/>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Production</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Build volume</w:t>
            </w:r>
          </w:p>
        </w:tc>
        <w:tc>
          <w:tcPr>
            <w:tcW w:type="dxa" w:w="3276"/>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10 by 10 by 12 inches</w:t>
            </w:r>
          </w:p>
        </w:tc>
        <w:tc>
          <w:tcPr>
            <w:tcW w:type="dxa" w:w="3276"/>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24 by 24 by 24 inches, 216 liters</w:t>
            </w:r>
          </w:p>
        </w:tc>
      </w:tr>
      <w:tr>
        <w:trPr>
          <w:cantSplit/>
        </w:trPr>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Layer thickness</w:t>
            </w:r>
          </w:p>
        </w:tc>
        <w:tc>
          <w:tcPr>
            <w:tcW w:type="dxa" w:w="3276"/>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50 to 100 microns</w:t>
            </w:r>
          </w:p>
        </w:tc>
        <w:tc>
          <w:tcPr>
            <w:tcW w:type="dxa" w:w="3276"/>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50 to 100 microns</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Pixel size</w:t>
            </w:r>
          </w:p>
        </w:tc>
        <w:tc>
          <w:tcPr>
            <w:tcW w:type="dxa" w:w="3276"/>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15 microns per beam</w:t>
            </w:r>
          </w:p>
        </w:tc>
        <w:tc>
          <w:tcPr>
            <w:tcW w:type="dxa" w:w="3276"/>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15 microns per beam, 4.1 million beams</w:t>
            </w:r>
          </w:p>
        </w:tc>
      </w:tr>
      <w:tr>
        <w:trPr>
          <w:cantSplit/>
        </w:trPr>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Pixel density</w:t>
            </w:r>
          </w:p>
        </w:tc>
        <w:tc>
          <w:tcPr>
            <w:tcW w:type="dxa" w:w="3276"/>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4,444 pixels per square millimeter</w:t>
            </w:r>
          </w:p>
        </w:tc>
        <w:tc>
          <w:tcPr>
            <w:tcW w:type="dxa" w:w="3276"/>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9,700 pixels per square millimeter</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Positioning accuracy</w:t>
            </w:r>
          </w:p>
        </w:tc>
        <w:tc>
          <w:tcPr>
            <w:tcW w:type="dxa" w:w="3276"/>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Plus or minus 2 microns XYZ</w:t>
            </w:r>
          </w:p>
        </w:tc>
        <w:tc>
          <w:tcPr>
            <w:tcW w:type="dxa" w:w="3276"/>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Plus or minus 2 microns XYZ</w:t>
            </w:r>
          </w:p>
        </w:tc>
      </w:tr>
      <w:tr>
        <w:trPr>
          <w:cantSplit/>
        </w:trPr>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Throughput</w:t>
            </w:r>
          </w:p>
        </w:tc>
        <w:tc>
          <w:tcPr>
            <w:tcW w:type="dxa" w:w="3276"/>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Research scale</w:t>
            </w:r>
          </w:p>
        </w:tc>
        <w:tc>
          <w:tcPr>
            <w:tcW w:type="dxa" w:w="3276"/>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36,000 cubic centimeters per day</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Surface finish</w:t>
            </w:r>
          </w:p>
        </w:tc>
        <w:tc>
          <w:tcPr>
            <w:tcW w:type="dxa" w:w="3276"/>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Less than 4 microns RMS</w:t>
            </w:r>
          </w:p>
        </w:tc>
        <w:tc>
          <w:tcPr>
            <w:tcW w:type="dxa" w:w="3276"/>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Less than 4 microns RMS</w:t>
            </w:r>
          </w:p>
        </w:tc>
      </w:tr>
      <w:tr>
        <w:trPr>
          <w:cantSplit/>
        </w:trPr>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Density</w:t>
            </w:r>
          </w:p>
        </w:tc>
        <w:tc>
          <w:tcPr>
            <w:tcW w:type="dxa" w:w="3276"/>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Greater than 99.5 percent</w:t>
            </w:r>
          </w:p>
        </w:tc>
        <w:tc>
          <w:tcPr>
            <w:tcW w:type="dxa" w:w="3276"/>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Greater than 99.5 percent</w:t>
            </w:r>
          </w:p>
        </w:tc>
      </w:tr>
    </w:tbl>
    <w:p>
      <w:pPr>
        <w:spacing w:after="200" w:before="0"/>
      </w:pPr>
      <w: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The performance specifications above are representative of the current production LAMP™ platform and are suitable for turbine airfoil shell production at industrial volumes. The build volume is sufficient for a single cast airfoil or a multi part tree. The resolution is compatible with the internal cooling passage features that characterize modern turbine blades. The throughput is compatible with the production rates implied by Replicator demand when matched with the appropriate number of machines per facility.</w:t>
      </w:r>
    </w:p>
    <w:p>
      <w:pPr>
        <w:pStyle w:val="Heading2"/>
        <w:spacing w:after="140" w:before="300" w:line="300"/>
      </w:pPr>
      <w:r>
        <w:rPr>
          <w:rFonts w:ascii="Calibri" w:cs="Calibri" w:eastAsia="Calibri" w:hAnsi="Calibri"/>
          <w:b/>
          <w:bCs/>
          <w:color w:val="1B2A4A"/>
          <w:sz w:val="28"/>
          <w:szCs w:val="28"/>
        </w:rPr>
        <w:t xml:space="preserve">10.3 DirectPour™ Service Architecture</w:t>
      </w:r>
    </w:p>
    <w:p>
      <w:pPr>
        <w:spacing w:after="120" w:before="60" w:line="300"/>
        <w:jc w:val="both"/>
      </w:pPr>
      <w:r>
        <w:rPr>
          <w:rFonts w:ascii="Calibri" w:cs="Calibri" w:eastAsia="Calibri" w:hAnsi="Calibri"/>
          <w:b w:val="false"/>
          <w:bCs w:val="false"/>
          <w:i w:val="false"/>
          <w:iCs w:val="false"/>
          <w:color w:val="2C2C2C"/>
          <w:sz w:val="22"/>
          <w:szCs w:val="22"/>
        </w:rPr>
        <w:t xml:space="preserve">DirectPour™ is the end-to-end service wrapper around LAMP™. A customer submits a CAD model of the part they need. DDM Systems engineers design the shell with integrated cores, optimizing for castability, gating, and yield. The shell is printed on LAMP™ equipment, fired, and either poured at DDM Systems or delivered ready to pour to a qualified foundry partner. The finished part is returned to the customer.</w:t>
      </w:r>
    </w:p>
    <w:p>
      <w:pPr>
        <w:pStyle w:val="Heading4"/>
        <w:spacing w:after="80" w:before="180" w:line="280"/>
      </w:pPr>
      <w:r>
        <w:rPr>
          <w:rFonts w:ascii="Calibri" w:cs="Calibri" w:eastAsia="Calibri" w:hAnsi="Calibri"/>
          <w:b/>
          <w:bCs/>
          <w:color w:val="0F1B33"/>
          <w:sz w:val="22"/>
          <w:szCs w:val="22"/>
        </w:rPr>
        <w:t xml:space="preserve">The Five Step DirectPour™ Process</w:t>
      </w:r>
    </w:p>
    <w:p>
      <w:pPr>
        <w:pStyle w:val="ListParagraph"/>
        <w:numPr>
          <w:ilvl w:val="0"/>
          <w:numId w:val="4"/>
        </w:numPr>
        <w:spacing w:after="40" w:before="40" w:line="280"/>
      </w:pPr>
      <w:r>
        <w:rPr>
          <w:rFonts w:ascii="Calibri" w:cs="Calibri" w:eastAsia="Calibri" w:hAnsi="Calibri"/>
          <w:color w:val="2C2C2C"/>
          <w:sz w:val="22"/>
          <w:szCs w:val="22"/>
        </w:rPr>
        <w:t xml:space="preserve">Receive customer CAD model and alloy specification.</w:t>
      </w:r>
    </w:p>
    <w:p>
      <w:pPr>
        <w:pStyle w:val="ListParagraph"/>
        <w:numPr>
          <w:ilvl w:val="0"/>
          <w:numId w:val="4"/>
        </w:numPr>
        <w:spacing w:after="40" w:before="40" w:line="280"/>
      </w:pPr>
      <w:r>
        <w:rPr>
          <w:rFonts w:ascii="Calibri" w:cs="Calibri" w:eastAsia="Calibri" w:hAnsi="Calibri"/>
          <w:color w:val="2C2C2C"/>
          <w:sz w:val="22"/>
          <w:szCs w:val="22"/>
        </w:rPr>
        <w:t xml:space="preserve">Design optimized ceramic shell with integrated cores.</w:t>
      </w:r>
    </w:p>
    <w:p>
      <w:pPr>
        <w:pStyle w:val="ListParagraph"/>
        <w:numPr>
          <w:ilvl w:val="0"/>
          <w:numId w:val="4"/>
        </w:numPr>
        <w:spacing w:after="40" w:before="40" w:line="280"/>
      </w:pPr>
      <w:r>
        <w:rPr>
          <w:rFonts w:ascii="Calibri" w:cs="Calibri" w:eastAsia="Calibri" w:hAnsi="Calibri"/>
          <w:color w:val="2C2C2C"/>
          <w:sz w:val="22"/>
          <w:szCs w:val="22"/>
        </w:rPr>
        <w:t xml:space="preserve">Print shell using LAMP™ and post process through firing and inspection.</w:t>
      </w:r>
    </w:p>
    <w:p>
      <w:pPr>
        <w:pStyle w:val="ListParagraph"/>
        <w:numPr>
          <w:ilvl w:val="0"/>
          <w:numId w:val="4"/>
        </w:numPr>
        <w:spacing w:after="40" w:before="40" w:line="280"/>
      </w:pPr>
      <w:r>
        <w:rPr>
          <w:rFonts w:ascii="Calibri" w:cs="Calibri" w:eastAsia="Calibri" w:hAnsi="Calibri"/>
          <w:color w:val="2C2C2C"/>
          <w:sz w:val="22"/>
          <w:szCs w:val="22"/>
        </w:rPr>
        <w:t xml:space="preserve">Pour metal at DDM Systems or at a qualified foundry partner, using standard vacuum induction melting and directional solidification operations.</w:t>
      </w:r>
    </w:p>
    <w:p>
      <w:pPr>
        <w:pStyle w:val="ListParagraph"/>
        <w:numPr>
          <w:ilvl w:val="0"/>
          <w:numId w:val="4"/>
        </w:numPr>
        <w:spacing w:after="40" w:before="40" w:line="280"/>
      </w:pPr>
      <w:r>
        <w:rPr>
          <w:rFonts w:ascii="Calibri" w:cs="Calibri" w:eastAsia="Calibri" w:hAnsi="Calibri"/>
          <w:color w:val="2C2C2C"/>
          <w:sz w:val="22"/>
          <w:szCs w:val="22"/>
        </w:rPr>
        <w:t xml:space="preserve">Finish, inspect, and qualify the casting to ASTM and Investment Casting Institute standards.</w:t>
      </w:r>
    </w:p>
    <w:p>
      <w:pPr>
        <w:spacing w:after="120" w:before="60" w:line="300"/>
        <w:jc w:val="both"/>
      </w:pPr>
      <w:r>
        <w:rPr>
          <w:rFonts w:ascii="Calibri" w:cs="Calibri" w:eastAsia="Calibri" w:hAnsi="Calibri"/>
          <w:b w:val="false"/>
          <w:bCs w:val="false"/>
          <w:i w:val="false"/>
          <w:iCs w:val="false"/>
          <w:color w:val="2C2C2C"/>
          <w:sz w:val="22"/>
          <w:szCs w:val="22"/>
        </w:rPr>
        <w:t xml:space="preserve">Compared with the twelve principal steps in the conventional process described in Section 4, DirectPour™ eliminates seven steps entirely, namely core tooling design, core tooling manufacture, ceramic core injection, wax tooling design, wax tooling manufacture, wax pattern injection, and the slurry and stucco shell build sequence. The remaining steps are largely unchanged, which is what allows DirectPour™ to integrate with existing foundry partners rather than requiring greenfield foundry construction.</w:t>
      </w:r>
    </w:p>
    <w:p>
      <w:pPr>
        <w:pStyle w:val="Heading2"/>
        <w:spacing w:after="140" w:before="300" w:line="300"/>
      </w:pPr>
      <w:r>
        <w:rPr>
          <w:rFonts w:ascii="Calibri" w:cs="Calibri" w:eastAsia="Calibri" w:hAnsi="Calibri"/>
          <w:b/>
          <w:bCs/>
          <w:color w:val="1B2A4A"/>
          <w:sz w:val="28"/>
          <w:szCs w:val="28"/>
        </w:rPr>
        <w:t xml:space="preserve">10.4 SLE™, Scanning Laser Epitaxy</w:t>
      </w:r>
    </w:p>
    <w:p>
      <w:pPr>
        <w:spacing w:after="120" w:before="60" w:line="300"/>
        <w:jc w:val="both"/>
      </w:pPr>
      <w:r>
        <w:rPr>
          <w:rFonts w:ascii="Calibri" w:cs="Calibri" w:eastAsia="Calibri" w:hAnsi="Calibri"/>
          <w:b w:val="false"/>
          <w:bCs w:val="false"/>
          <w:i w:val="false"/>
          <w:iCs w:val="false"/>
          <w:color w:val="2C2C2C"/>
          <w:sz w:val="22"/>
          <w:szCs w:val="22"/>
        </w:rPr>
        <w:t xml:space="preserve">SLE™ is DDM Systems metal additive manufacturing technology, complementary to LAMP™ but distinct in scope. Where LAMP™ produces ceramic shells for casting, SLE™ directly deposits nickel superalloy or titanium alloy metal in controlled microstructures. SLE™ has demonstrated the ability to process alloys that are conventionally considered non weldable, including MAR-M247, Rene 80, and IN100, producing fully dense, crack free deposits with up to ten percent higher microhardness than cast substrates.</w:t>
      </w:r>
    </w:p>
    <w:p>
      <w:pPr>
        <w:spacing w:after="120" w:before="60" w:line="300"/>
        <w:jc w:val="both"/>
      </w:pPr>
      <w:r>
        <w:rPr>
          <w:rFonts w:ascii="Calibri" w:cs="Calibri" w:eastAsia="Calibri" w:hAnsi="Calibri"/>
          <w:b w:val="false"/>
          <w:bCs w:val="false"/>
          <w:i w:val="false"/>
          <w:iCs w:val="false"/>
          <w:color w:val="2C2C2C"/>
          <w:sz w:val="22"/>
          <w:szCs w:val="22"/>
        </w:rPr>
        <w:t xml:space="preserve">SLE™ is relevant to the Replicator propulsion argument in two specific applications. The first is repair of high-value cast components that have returned from service with wear or localized damage. The second is hybrid manufacturing, in which a base casting is produced by DirectPour™ and a subsequent feature is added by SLE™ deposition. Both applications extend the value that a digital casting facility can deliver to the Department of Defense beyond new part production alone.</w:t>
      </w:r>
    </w:p>
    <w:p>
      <w:pPr>
        <w:pStyle w:val="Heading2"/>
        <w:spacing w:after="140" w:before="300" w:line="300"/>
      </w:pPr>
      <w:r>
        <w:rPr>
          <w:rFonts w:ascii="Calibri" w:cs="Calibri" w:eastAsia="Calibri" w:hAnsi="Calibri"/>
          <w:b/>
          <w:bCs/>
          <w:color w:val="1B2A4A"/>
          <w:sz w:val="28"/>
          <w:szCs w:val="28"/>
        </w:rPr>
        <w:t xml:space="preserve">10.5 The Digital Foundry Architecture</w:t>
      </w:r>
    </w:p>
    <w:p>
      <w:pPr>
        <w:spacing w:after="120" w:before="60" w:line="300"/>
        <w:jc w:val="both"/>
      </w:pPr>
      <w:r>
        <w:rPr>
          <w:rFonts w:ascii="Calibri" w:cs="Calibri" w:eastAsia="Calibri" w:hAnsi="Calibri"/>
          <w:b w:val="false"/>
          <w:bCs w:val="false"/>
          <w:i w:val="false"/>
          <w:iCs w:val="false"/>
          <w:color w:val="2C2C2C"/>
          <w:sz w:val="22"/>
          <w:szCs w:val="22"/>
        </w:rPr>
        <w:t xml:space="preserve">The Digital Foundry is DDM Systems name for the vertically integrated production architecture that combines LAMP™, DirectPour™, SLE™ where applicable, and the full set of software, process control, and quality systems that tie the operation together. A Digital Foundry installation can be hosted inside DDM Systems headquarters, co-located at a partner foundry, or deployed as a captive facility inside a government installation such as an Air Force depot.</w:t>
      </w:r>
    </w:p>
    <w:p>
      <w:pPr>
        <w:pStyle w:val="Heading4"/>
        <w:spacing w:after="80" w:before="180" w:line="280"/>
      </w:pPr>
      <w:r>
        <w:rPr>
          <w:rFonts w:ascii="Calibri" w:cs="Calibri" w:eastAsia="Calibri" w:hAnsi="Calibri"/>
          <w:b/>
          <w:bCs/>
          <w:color w:val="0F1B33"/>
          <w:sz w:val="22"/>
          <w:szCs w:val="22"/>
        </w:rPr>
        <w:t xml:space="preserve">Current and Planned Digital Foundry Deployments</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DDM Systems headquarters Digital Foundry, Atlanta, Georgia. Active production.</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Tinker Air Force Base Digital Foundry, funded and slated for 2026 to 2027 installation.</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Robins Air Force Base Digital Foundry, slated for 2027 to 2028 installation.</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Eaton Aerospace strategic partnership and United Kingdom Digital Foundry, slated for 2026.</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Defense Industrial Base Consortium classified Digital Foundry, slated for 2026.</w:t>
      </w:r>
    </w:p>
    <w:p>
      <w:pPr>
        <w:spacing w:after="160" w:before="0"/>
      </w:pPr>
      <w: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The deployment pattern above establishes that Digital Foundry installation is not speculative. It is an active, budgeted, multi site program that is already in execution. A Replicator-aligned capacity expansion would extend this pattern to additional sites specifically sized for attritable microturbine airfoil volumes, rather than inventing a new production model from scratch.</w:t>
      </w:r>
    </w:p>
    <w:p>
      <w:pPr>
        <w:pStyle w:val="Heading2"/>
        <w:spacing w:after="140" w:before="300" w:line="300"/>
      </w:pPr>
      <w:r>
        <w:rPr>
          <w:rFonts w:ascii="Calibri" w:cs="Calibri" w:eastAsia="Calibri" w:hAnsi="Calibri"/>
          <w:b/>
          <w:bCs/>
          <w:color w:val="1B2A4A"/>
          <w:sz w:val="28"/>
          <w:szCs w:val="28"/>
        </w:rPr>
        <w:t xml:space="preserve">10.6 Qualified Alloys and Industries</w:t>
      </w:r>
    </w:p>
    <w:p>
      <w:pPr>
        <w:spacing w:after="120" w:before="60" w:line="300"/>
        <w:jc w:val="both"/>
      </w:pPr>
      <w:r>
        <w:rPr>
          <w:rFonts w:ascii="Calibri" w:cs="Calibri" w:eastAsia="Calibri" w:hAnsi="Calibri"/>
          <w:b w:val="false"/>
          <w:bCs w:val="false"/>
          <w:i w:val="false"/>
          <w:iCs w:val="false"/>
          <w:color w:val="2C2C2C"/>
          <w:sz w:val="22"/>
          <w:szCs w:val="22"/>
        </w:rPr>
        <w:t xml:space="preserve">DDM Systems produces castings in hundreds of standard alloys across both air melt and vacuum melt foundry processes. All castings meet ASTM standards and Investment Casting Institute acceptability criteria. The qualified alloy list relevant to the Replicator microturbine use case is summarized below.</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8"/>
        <w:gridCol w:w="3744"/>
        <w:gridCol w:w="2808"/>
      </w:tblGrid>
      <w:tr>
        <w:trPr>
          <w:cantSplit/>
          <w:tblHeader/>
        </w:trPr>
        <w:tc>
          <w:tcPr>
            <w:tcW w:type="dxa" w:w="2808"/>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Alloy Family</w:t>
            </w:r>
          </w:p>
        </w:tc>
        <w:tc>
          <w:tcPr>
            <w:tcW w:type="dxa" w:w="3744"/>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Representative Alloys</w:t>
            </w:r>
          </w:p>
        </w:tc>
        <w:tc>
          <w:tcPr>
            <w:tcW w:type="dxa" w:w="2808"/>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Microstructure Options</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Nickel superalloys, vacuum melt</w:t>
            </w:r>
          </w:p>
        </w:tc>
        <w:tc>
          <w:tcPr>
            <w:tcW w:type="dxa" w:w="3744"/>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IN 625, IN 718, IN 713C, MAR-M247, IN100</w:t>
            </w:r>
          </w:p>
        </w:tc>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Equiaxed</w:t>
            </w:r>
          </w:p>
        </w:tc>
      </w:tr>
      <w:tr>
        <w:trPr>
          <w:cantSplit/>
        </w:trPr>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Nickel superalloys, directionally solidified</w:t>
            </w:r>
          </w:p>
        </w:tc>
        <w:tc>
          <w:tcPr>
            <w:tcW w:type="dxa" w:w="3744"/>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Rene 141, Rene 80, Rene 142</w:t>
            </w:r>
          </w:p>
        </w:tc>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Columnar</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Nickel superalloys, single crystal</w:t>
            </w:r>
          </w:p>
        </w:tc>
        <w:tc>
          <w:tcPr>
            <w:tcW w:type="dxa" w:w="3744"/>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CMSX-4, Rene N5</w:t>
            </w:r>
          </w:p>
        </w:tc>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Single crystal</w:t>
            </w:r>
          </w:p>
        </w:tc>
      </w:tr>
      <w:tr>
        <w:trPr>
          <w:cantSplit/>
        </w:trPr>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Titanium alloys</w:t>
            </w:r>
          </w:p>
        </w:tc>
        <w:tc>
          <w:tcPr>
            <w:tcW w:type="dxa" w:w="3744"/>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Ti-6Al-4V</w:t>
            </w:r>
          </w:p>
        </w:tc>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Alpha beta</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Stainless steels</w:t>
            </w:r>
          </w:p>
        </w:tc>
        <w:tc>
          <w:tcPr>
            <w:tcW w:type="dxa" w:w="3744"/>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304, 316, 17-4 PH, 15-5 PH</w:t>
            </w:r>
          </w:p>
        </w:tc>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Equiaxed</w:t>
            </w:r>
          </w:p>
        </w:tc>
      </w:tr>
      <w:tr>
        <w:trPr>
          <w:cantSplit/>
        </w:trPr>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Aluminum alloys</w:t>
            </w:r>
          </w:p>
        </w:tc>
        <w:tc>
          <w:tcPr>
            <w:tcW w:type="dxa" w:w="3744"/>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A356, A357, A380, F357</w:t>
            </w:r>
          </w:p>
        </w:tc>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Equiaxed</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Medical alloys</w:t>
            </w:r>
          </w:p>
        </w:tc>
        <w:tc>
          <w:tcPr>
            <w:tcW w:type="dxa" w:w="3744"/>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Cobalt chromium molybdenum ASTM F75 equivalent</w:t>
            </w:r>
          </w:p>
        </w:tc>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Equiaxed</w:t>
            </w:r>
          </w:p>
        </w:tc>
      </w:tr>
    </w:tbl>
    <w:p>
      <w:pPr>
        <w:spacing w:after="200" w:before="0"/>
      </w:pPr>
      <w:r>
        <w:t xml:space="preserve"/>
      </w:r>
    </w:p>
    <w:p>
      <w:pPr>
        <w:pStyle w:val="Heading2"/>
        <w:spacing w:after="140" w:before="300" w:line="300"/>
      </w:pPr>
      <w:r>
        <w:rPr>
          <w:rFonts w:ascii="Calibri" w:cs="Calibri" w:eastAsia="Calibri" w:hAnsi="Calibri"/>
          <w:b/>
          <w:bCs/>
          <w:color w:val="1B2A4A"/>
          <w:sz w:val="28"/>
          <w:szCs w:val="28"/>
        </w:rPr>
        <w:t xml:space="preserve">10.7 Intellectual Property and Trade Secret Protection</w:t>
      </w:r>
    </w:p>
    <w:p>
      <w:pPr>
        <w:spacing w:after="120" w:before="60" w:line="300"/>
        <w:jc w:val="both"/>
      </w:pPr>
      <w:r>
        <w:rPr>
          <w:rFonts w:ascii="Calibri" w:cs="Calibri" w:eastAsia="Calibri" w:hAnsi="Calibri"/>
          <w:b w:val="false"/>
          <w:bCs w:val="false"/>
          <w:i w:val="false"/>
          <w:iCs w:val="false"/>
          <w:color w:val="2C2C2C"/>
          <w:sz w:val="22"/>
          <w:szCs w:val="22"/>
        </w:rPr>
        <w:t xml:space="preserve">DDM Systems owns more than twenty six patents across six countries covering equipment, methods, and materials. The ceramic slurry formulations, firing protocols, and process control recipes that represent the highest trade secret value are held as trade secrets rather than as patents, because the engineering complexity of duplicating them is high and the disclosure cost of patenting them would be greater than the protection benefit. This IP position makes a Replicator-aligned facility built on the DDM Systems platform defensible against replication by foreign or adversary actors.</w:t>
      </w:r>
    </w:p>
    <w:p>
      <w:pPr>
        <w:spacing w:after="120" w:before="60" w:line="300"/>
        <w:jc w:val="both"/>
      </w:pPr>
      <w:r>
        <w:rPr>
          <w:rFonts w:ascii="Calibri" w:cs="Calibri" w:eastAsia="Calibri" w:hAnsi="Calibri"/>
          <w:b w:val="false"/>
          <w:bCs w:val="false"/>
          <w:i w:val="false"/>
          <w:iCs w:val="false"/>
          <w:color w:val="2C2C2C"/>
          <w:sz w:val="22"/>
          <w:szCs w:val="22"/>
        </w:rPr>
        <w:t xml:space="preserve">The LAMP™ trademark is registered at the United States Patent and Trademark Office under registration number 5530416, filed September 16, 2013 and registered July 31, 2018. DirectPour™, Digital Foundry, and SLE™ are proprietary service marks and process names. The company maintains ITAR registration with the Directorate of Defense Trade Controls, membership in the Defense Industrial Base Consortium, Silver Member status in America Makes, and membership in the Cornerstone Other Transaction Agreement with oversight by DEVCOM Chemical Biological Center, the Army Contracting Command, and the Industrial Base Analysis and Sustainment program manager.</w:t>
      </w:r>
    </w:p>
    <w:p>
      <w:pPr>
        <w:pageBreakBefore/>
        <w:spacing w:after="60" w:before="200"/>
      </w:pPr>
      <w:r>
        <w:rPr>
          <w:rFonts w:ascii="Calibri" w:cs="Calibri" w:eastAsia="Calibri" w:hAnsi="Calibri"/>
          <w:b/>
          <w:bCs/>
          <w:color w:val="2E5C8A"/>
          <w:sz w:val="18"/>
          <w:szCs w:val="18"/>
        </w:rPr>
        <w:t xml:space="preserve">SECTION 11</w:t>
      </w:r>
    </w:p>
    <w:p>
      <w:pPr>
        <w:pStyle w:val="Heading1"/>
        <w:spacing w:after="200" w:before="400" w:line="300"/>
      </w:pPr>
      <w:r>
        <w:rPr>
          <w:rFonts w:ascii="Calibri" w:cs="Calibri" w:eastAsia="Calibri" w:hAnsi="Calibri"/>
          <w:b/>
          <w:bCs/>
          <w:color w:val="1B2A4A"/>
          <w:sz w:val="36"/>
          <w:szCs w:val="36"/>
        </w:rPr>
        <w:t xml:space="preserve">Why New Facilities Are Required</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The preceding sections established that the demand exists, the materials are ready, the technology is proven, and the manufacturing gap is structural. This section brings those threads together into the specific conclusion that dedicated new facilities are required, and it describes the properties those facilities must have in order to deliver the Replicator-aligned propulsion capability that the nation needs.</w:t>
      </w:r>
    </w:p>
    <w:p>
      <w:pPr>
        <w:pStyle w:val="Heading2"/>
        <w:spacing w:after="140" w:before="300" w:line="300"/>
      </w:pPr>
      <w:r>
        <w:rPr>
          <w:rFonts w:ascii="Calibri" w:cs="Calibri" w:eastAsia="Calibri" w:hAnsi="Calibri"/>
          <w:b/>
          <w:bCs/>
          <w:color w:val="1B2A4A"/>
          <w:sz w:val="28"/>
          <w:szCs w:val="28"/>
        </w:rPr>
        <w:t xml:space="preserve">11.1 The Four Pillars of the Facility Case</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rPr>
          <w:cantSplit/>
        </w:trPr>
        <w:tc>
          <w:tcPr>
            <w:tcW w:type="dxa" w:w="4680"/>
            <w:tcBorders>
              <w:top w:val="single" w:color="1B2A4A" w:sz="12"/>
              <w:left w:val="single" w:color="1B2A4A" w:sz="2"/>
              <w:bottom w:val="single" w:color="1B2A4A" w:sz="2"/>
              <w:right w:val="single" w:color="1B2A4A" w:sz="2"/>
            </w:tcBorders>
            <w:shd w:fill="EBF2F7" w:val="clear"/>
            <w:tcMar>
              <w:top w:type="dxa" w:w="160"/>
              <w:left w:type="dxa" w:w="180"/>
              <w:bottom w:type="dxa" w:w="160"/>
              <w:right w:type="dxa" w:w="180"/>
            </w:tcMar>
          </w:tcPr>
          <w:p>
            <w:pPr>
              <w:spacing w:after="80" w:before="0"/>
            </w:pPr>
            <w:r>
              <w:rPr>
                <w:rFonts w:ascii="Calibri" w:cs="Calibri" w:eastAsia="Calibri" w:hAnsi="Calibri"/>
                <w:b/>
                <w:bCs/>
                <w:color w:val="1B2A4A"/>
                <w:sz w:val="22"/>
                <w:szCs w:val="22"/>
              </w:rPr>
              <w:t xml:space="preserve">MATERIALS ARE READY</w:t>
            </w:r>
          </w:p>
          <w:p>
            <w:pPr>
              <w:spacing w:after="0" w:before="0" w:line="280"/>
              <w:jc w:val="left"/>
            </w:pPr>
            <w:r>
              <w:rPr>
                <w:rFonts w:ascii="Calibri" w:cs="Calibri" w:eastAsia="Calibri" w:hAnsi="Calibri"/>
                <w:color w:val="2C2C2C"/>
                <w:sz w:val="20"/>
                <w:szCs w:val="20"/>
              </w:rPr>
              <w:t xml:space="preserve">MAR-M247 and nickel superalloys remain the definitive solution for drone turbine hot-section components. No substitute material achieves equivalent performance at operating temperatures above one thousand degrees Celsius. The materials engineering question is settled, which means the industrial base can invest in manufacturing capacity with confidence that the alloy choice will not shift.</w:t>
            </w:r>
          </w:p>
        </w:tc>
        <w:tc>
          <w:tcPr>
            <w:tcW w:type="dxa" w:w="4680"/>
            <w:tcBorders>
              <w:top w:val="single" w:color="1B2A4A" w:sz="12"/>
              <w:left w:val="single" w:color="1B2A4A" w:sz="2"/>
              <w:bottom w:val="single" w:color="1B2A4A" w:sz="2"/>
              <w:right w:val="single" w:color="1B2A4A" w:sz="2"/>
            </w:tcBorders>
            <w:shd w:fill="EBF2F7" w:val="clear"/>
            <w:tcMar>
              <w:top w:type="dxa" w:w="160"/>
              <w:left w:type="dxa" w:w="180"/>
              <w:bottom w:type="dxa" w:w="160"/>
              <w:right w:type="dxa" w:w="180"/>
            </w:tcMar>
          </w:tcPr>
          <w:p>
            <w:pPr>
              <w:spacing w:after="80" w:before="0"/>
            </w:pPr>
            <w:r>
              <w:rPr>
                <w:rFonts w:ascii="Calibri" w:cs="Calibri" w:eastAsia="Calibri" w:hAnsi="Calibri"/>
                <w:b/>
                <w:bCs/>
                <w:color w:val="1B2A4A"/>
                <w:sz w:val="22"/>
                <w:szCs w:val="22"/>
              </w:rPr>
              <w:t xml:space="preserve">DEMAND IS VALIDATED</w:t>
            </w:r>
          </w:p>
          <w:p>
            <w:pPr>
              <w:spacing w:after="0" w:before="0" w:line="280"/>
              <w:jc w:val="left"/>
            </w:pPr>
            <w:r>
              <w:rPr>
                <w:rFonts w:ascii="Calibri" w:cs="Calibri" w:eastAsia="Calibri" w:hAnsi="Calibri"/>
                <w:color w:val="2C2C2C"/>
                <w:sz w:val="20"/>
                <w:szCs w:val="20"/>
              </w:rPr>
              <w:t xml:space="preserve">Replicator 1 and Replicator 2 create an unmatched, multi-year demand signal for affordable, scalable microturbine propulsion at volumes the current industrial base cannot satisfy. The funding is committed, the authorities are in place, and the procurement cadence is established. This is the kind of demand signal that justifies capital investment in dedicated facilities.</w:t>
            </w:r>
          </w:p>
        </w:tc>
      </w:tr>
    </w:tbl>
    <w:p>
      <w:pPr>
        <w:spacing w:after="16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rPr>
          <w:cantSplit/>
        </w:trPr>
        <w:tc>
          <w:tcPr>
            <w:tcW w:type="dxa" w:w="4680"/>
            <w:tcBorders>
              <w:top w:val="single" w:color="1B2A4A" w:sz="12"/>
              <w:left w:val="single" w:color="1B2A4A" w:sz="2"/>
              <w:bottom w:val="single" w:color="1B2A4A" w:sz="2"/>
              <w:right w:val="single" w:color="1B2A4A" w:sz="2"/>
            </w:tcBorders>
            <w:shd w:fill="EBF2F7" w:val="clear"/>
            <w:tcMar>
              <w:top w:type="dxa" w:w="160"/>
              <w:left w:type="dxa" w:w="180"/>
              <w:bottom w:type="dxa" w:w="160"/>
              <w:right w:type="dxa" w:w="180"/>
            </w:tcMar>
          </w:tcPr>
          <w:p>
            <w:pPr>
              <w:spacing w:after="80" w:before="0"/>
            </w:pPr>
            <w:r>
              <w:rPr>
                <w:rFonts w:ascii="Calibri" w:cs="Calibri" w:eastAsia="Calibri" w:hAnsi="Calibri"/>
                <w:b/>
                <w:bCs/>
                <w:color w:val="1B2A4A"/>
                <w:sz w:val="22"/>
                <w:szCs w:val="22"/>
              </w:rPr>
              <w:t xml:space="preserve">TECHNOLOGY IS PROVEN</w:t>
            </w:r>
          </w:p>
          <w:p>
            <w:pPr>
              <w:spacing w:after="0" w:before="0" w:line="280"/>
              <w:jc w:val="left"/>
            </w:pPr>
            <w:r>
              <w:rPr>
                <w:rFonts w:ascii="Calibri" w:cs="Calibri" w:eastAsia="Calibri" w:hAnsi="Calibri"/>
                <w:color w:val="2C2C2C"/>
                <w:sz w:val="20"/>
                <w:szCs w:val="20"/>
              </w:rPr>
              <w:t xml:space="preserve">Advanced digital investment casting delivers the thirty to fifty percent cost reduction and lead time compression required to make attritable turbine propulsion economically viable at swarm scale. The technology is not at research stage. It is in production, with references at commercial foundries, defense primes, United States Air Force installations, and major engine OEMs.</w:t>
            </w:r>
          </w:p>
        </w:tc>
        <w:tc>
          <w:tcPr>
            <w:tcW w:type="dxa" w:w="4680"/>
            <w:tcBorders>
              <w:top w:val="single" w:color="1B2A4A" w:sz="12"/>
              <w:left w:val="single" w:color="1B2A4A" w:sz="2"/>
              <w:bottom w:val="single" w:color="1B2A4A" w:sz="2"/>
              <w:right w:val="single" w:color="1B2A4A" w:sz="2"/>
            </w:tcBorders>
            <w:shd w:fill="EBF2F7" w:val="clear"/>
            <w:tcMar>
              <w:top w:type="dxa" w:w="160"/>
              <w:left w:type="dxa" w:w="180"/>
              <w:bottom w:type="dxa" w:w="160"/>
              <w:right w:type="dxa" w:w="180"/>
            </w:tcMar>
          </w:tcPr>
          <w:p>
            <w:pPr>
              <w:spacing w:after="80" w:before="0"/>
            </w:pPr>
            <w:r>
              <w:rPr>
                <w:rFonts w:ascii="Calibri" w:cs="Calibri" w:eastAsia="Calibri" w:hAnsi="Calibri"/>
                <w:b/>
                <w:bCs/>
                <w:color w:val="1B2A4A"/>
                <w:sz w:val="22"/>
                <w:szCs w:val="22"/>
              </w:rPr>
              <w:t xml:space="preserve">FACILITIES ARE THE GATING ITEM</w:t>
            </w:r>
          </w:p>
          <w:p>
            <w:pPr>
              <w:spacing w:after="0" w:before="0" w:line="280"/>
              <w:jc w:val="left"/>
            </w:pPr>
            <w:r>
              <w:rPr>
                <w:rFonts w:ascii="Calibri" w:cs="Calibri" w:eastAsia="Calibri" w:hAnsi="Calibri"/>
                <w:color w:val="2C2C2C"/>
                <w:sz w:val="20"/>
                <w:szCs w:val="20"/>
              </w:rPr>
              <w:t xml:space="preserve">Without dedicated, purpose-built capacity sized for Replicator volumes, the attritable autonomy doctrine remains aspirational. Additional capacity at existing conventional suppliers helps at the margin but does not close the gap. Net new facilities, operating digital casting technology, are the decisive enabling action.</w:t>
            </w:r>
          </w:p>
        </w:tc>
      </w:tr>
    </w:tbl>
    <w:p>
      <w:pPr>
        <w:spacing w:after="200" w:before="0"/>
      </w:pPr>
      <w:r>
        <w:t xml:space="preserve"/>
      </w:r>
    </w:p>
    <w:p>
      <w:pPr>
        <w:pStyle w:val="Heading2"/>
        <w:spacing w:after="140" w:before="300" w:line="300"/>
      </w:pPr>
      <w:r>
        <w:rPr>
          <w:rFonts w:ascii="Calibri" w:cs="Calibri" w:eastAsia="Calibri" w:hAnsi="Calibri"/>
          <w:b/>
          <w:bCs/>
          <w:color w:val="1B2A4A"/>
          <w:sz w:val="28"/>
          <w:szCs w:val="28"/>
        </w:rPr>
        <w:t xml:space="preserve">11.2 Facility Requirements</w:t>
      </w:r>
    </w:p>
    <w:p>
      <w:pPr>
        <w:spacing w:after="120" w:before="60" w:line="300"/>
        <w:jc w:val="both"/>
      </w:pPr>
      <w:r>
        <w:rPr>
          <w:rFonts w:ascii="Calibri" w:cs="Calibri" w:eastAsia="Calibri" w:hAnsi="Calibri"/>
          <w:b w:val="false"/>
          <w:bCs w:val="false"/>
          <w:i w:val="false"/>
          <w:iCs w:val="false"/>
          <w:color w:val="2C2C2C"/>
          <w:sz w:val="22"/>
          <w:szCs w:val="22"/>
        </w:rPr>
        <w:t xml:space="preserve">A Replicator-aligned digital investment casting facility must satisfy several specific requirements beyond the general characteristics of a manufacturing plant. The requirements flow from the specific scope, volume, and security profile of the attritable microturbine propulsion use case.</w:t>
      </w:r>
    </w:p>
    <w:p>
      <w:pPr>
        <w:pStyle w:val="Heading4"/>
        <w:spacing w:after="80" w:before="180" w:line="280"/>
      </w:pPr>
      <w:r>
        <w:rPr>
          <w:rFonts w:ascii="Calibri" w:cs="Calibri" w:eastAsia="Calibri" w:hAnsi="Calibri"/>
          <w:b/>
          <w:bCs/>
          <w:color w:val="0F1B33"/>
          <w:sz w:val="22"/>
          <w:szCs w:val="22"/>
        </w:rPr>
        <w:t xml:space="preserve">Scope Requirements</w:t>
      </w:r>
    </w:p>
    <w:p>
      <w:pPr>
        <w:spacing w:after="120" w:before="60" w:line="300"/>
        <w:jc w:val="both"/>
      </w:pPr>
      <w:r>
        <w:rPr>
          <w:rFonts w:ascii="Calibri" w:cs="Calibri" w:eastAsia="Calibri" w:hAnsi="Calibri"/>
          <w:b w:val="false"/>
          <w:bCs w:val="false"/>
          <w:i w:val="false"/>
          <w:iCs w:val="false"/>
          <w:color w:val="2C2C2C"/>
          <w:sz w:val="22"/>
          <w:szCs w:val="22"/>
        </w:rPr>
        <w:t xml:space="preserve">The facility must cover the full value chain from digital shell print through finished, qualified casting. Partial facilities that only produce shells and ship them to partner foundries can play a role, but the strategic case for Replicator-aligned capacity depends on having fully integrated domestic production where the government can hold a single accountable entity for output, quality, and security. The facility should co locate LAMP™ printing, ceramic firing, vacuum induction melting, directional solidification, hot isostatic pressing, heat treatment, machining, nondestructive inspection, and final qualification.</w:t>
      </w:r>
    </w:p>
    <w:p>
      <w:pPr>
        <w:pStyle w:val="Heading4"/>
        <w:spacing w:after="80" w:before="180" w:line="280"/>
      </w:pPr>
      <w:r>
        <w:rPr>
          <w:rFonts w:ascii="Calibri" w:cs="Calibri" w:eastAsia="Calibri" w:hAnsi="Calibri"/>
          <w:b/>
          <w:bCs/>
          <w:color w:val="0F1B33"/>
          <w:sz w:val="22"/>
          <w:szCs w:val="22"/>
        </w:rPr>
        <w:t xml:space="preserve">Volume Requirements</w:t>
      </w:r>
    </w:p>
    <w:p>
      <w:pPr>
        <w:spacing w:after="120" w:before="60" w:line="300"/>
        <w:jc w:val="both"/>
      </w:pPr>
      <w:r>
        <w:rPr>
          <w:rFonts w:ascii="Calibri" w:cs="Calibri" w:eastAsia="Calibri" w:hAnsi="Calibri"/>
          <w:b w:val="false"/>
          <w:bCs w:val="false"/>
          <w:i w:val="false"/>
          <w:iCs w:val="false"/>
          <w:color w:val="2C2C2C"/>
          <w:sz w:val="22"/>
          <w:szCs w:val="22"/>
        </w:rPr>
        <w:t xml:space="preserve">The facility must be sized for thousands of cast airfoils per month at steady state, with surge capacity to multiples of that figure in crisis. This implies a LAMP™ machine count in the dozens, a corresponding firing and foundry capacity, and downstream post-processing that keeps pace. Plant floor area in the range of one hundred thousand to two hundred thousand square feet is typical for an integrated digital foundry at this scale.</w:t>
      </w:r>
    </w:p>
    <w:p>
      <w:pPr>
        <w:pStyle w:val="Heading4"/>
        <w:spacing w:after="80" w:before="180" w:line="280"/>
      </w:pPr>
      <w:r>
        <w:rPr>
          <w:rFonts w:ascii="Calibri" w:cs="Calibri" w:eastAsia="Calibri" w:hAnsi="Calibri"/>
          <w:b/>
          <w:bCs/>
          <w:color w:val="0F1B33"/>
          <w:sz w:val="22"/>
          <w:szCs w:val="22"/>
        </w:rPr>
        <w:t xml:space="preserve">Security Requirements</w:t>
      </w:r>
    </w:p>
    <w:p>
      <w:pPr>
        <w:spacing w:after="120" w:before="60" w:line="300"/>
        <w:jc w:val="both"/>
      </w:pPr>
      <w:r>
        <w:rPr>
          <w:rFonts w:ascii="Calibri" w:cs="Calibri" w:eastAsia="Calibri" w:hAnsi="Calibri"/>
          <w:b w:val="false"/>
          <w:bCs w:val="false"/>
          <w:i w:val="false"/>
          <w:iCs w:val="false"/>
          <w:color w:val="2C2C2C"/>
          <w:sz w:val="22"/>
          <w:szCs w:val="22"/>
        </w:rPr>
        <w:t xml:space="preserve">The facility must be ITAR compliant, Controlled Unclassified Information capable, and eligible for Cybersecurity Maturity Model Certification Level 2 or higher. Physical security should meet Department of Defense requirements for controlled access. Where a facility is classified or serves classified programs, appropriate sensitive compartmented information or special access program facilities will be required, and the site plan must accommodate these from the outset. Facility designs that treat security as an afterthought will fail critical design reviews and delay operational acceptance.</w:t>
      </w:r>
    </w:p>
    <w:p>
      <w:pPr>
        <w:pStyle w:val="Heading4"/>
        <w:spacing w:after="80" w:before="180" w:line="280"/>
      </w:pPr>
      <w:r>
        <w:rPr>
          <w:rFonts w:ascii="Calibri" w:cs="Calibri" w:eastAsia="Calibri" w:hAnsi="Calibri"/>
          <w:b/>
          <w:bCs/>
          <w:color w:val="0F1B33"/>
          <w:sz w:val="22"/>
          <w:szCs w:val="22"/>
        </w:rPr>
        <w:t xml:space="preserve">Workforce Requirements</w:t>
      </w:r>
    </w:p>
    <w:p>
      <w:pPr>
        <w:spacing w:after="120" w:before="60" w:line="300"/>
        <w:jc w:val="both"/>
      </w:pPr>
      <w:r>
        <w:rPr>
          <w:rFonts w:ascii="Calibri" w:cs="Calibri" w:eastAsia="Calibri" w:hAnsi="Calibri"/>
          <w:b w:val="false"/>
          <w:bCs w:val="false"/>
          <w:i w:val="false"/>
          <w:iCs w:val="false"/>
          <w:color w:val="2C2C2C"/>
          <w:sz w:val="22"/>
          <w:szCs w:val="22"/>
        </w:rPr>
        <w:t xml:space="preserve">The facility must be sited to access the specific labor pool that digital foundry operations require. This includes metallurgists, foundry operators, additive manufacturing engineers, software engineers, data scientists, quality engineers, and skilled technicians. Sites that are near major research universities with materials science and mechanical engineering programs have a structural advantage. Sites that are in traditional aerospace and defense corridors, where the relevant trades are already active, have an additional advantage.</w:t>
      </w:r>
    </w:p>
    <w:p>
      <w:pPr>
        <w:pStyle w:val="Heading4"/>
        <w:spacing w:after="80" w:before="180" w:line="280"/>
      </w:pPr>
      <w:r>
        <w:rPr>
          <w:rFonts w:ascii="Calibri" w:cs="Calibri" w:eastAsia="Calibri" w:hAnsi="Calibri"/>
          <w:b/>
          <w:bCs/>
          <w:color w:val="0F1B33"/>
          <w:sz w:val="22"/>
          <w:szCs w:val="22"/>
        </w:rPr>
        <w:t xml:space="preserve">Supply Chain Requirements</w:t>
      </w:r>
    </w:p>
    <w:p>
      <w:pPr>
        <w:spacing w:after="120" w:before="60" w:line="300"/>
        <w:jc w:val="both"/>
      </w:pPr>
      <w:r>
        <w:rPr>
          <w:rFonts w:ascii="Calibri" w:cs="Calibri" w:eastAsia="Calibri" w:hAnsi="Calibri"/>
          <w:b w:val="false"/>
          <w:bCs w:val="false"/>
          <w:i w:val="false"/>
          <w:iCs w:val="false"/>
          <w:color w:val="2C2C2C"/>
          <w:sz w:val="22"/>
          <w:szCs w:val="22"/>
        </w:rPr>
        <w:t xml:space="preserve">The facility must be integrated with reliable upstream suppliers of photopolymerizable ceramic slurry feedstock, vacuum induction melted nickel superalloy ingot, and hot isostatic pressing capacity. These integrations should be contractually established in parallel with facility design, not left as an operational issue to solve after commissioning. A facility that opens without secure supply agreements will face production interruptions in its first year.</w:t>
      </w:r>
    </w:p>
    <w:p>
      <w:pPr>
        <w:spacing w:after="160" w:before="0"/>
      </w:pPr>
      <w:r>
        <w:t xml:space="preserve"/>
      </w:r>
    </w:p>
    <w:p>
      <w:pPr>
        <w:pStyle w:val="Heading2"/>
        <w:spacing w:after="140" w:before="300" w:line="300"/>
      </w:pPr>
      <w:r>
        <w:rPr>
          <w:rFonts w:ascii="Calibri" w:cs="Calibri" w:eastAsia="Calibri" w:hAnsi="Calibri"/>
          <w:b/>
          <w:bCs/>
          <w:color w:val="1B2A4A"/>
          <w:sz w:val="28"/>
          <w:szCs w:val="28"/>
        </w:rPr>
        <w:t xml:space="preserve">11.3 Why Two to Three Facilities, Not One</w:t>
      </w:r>
    </w:p>
    <w:p>
      <w:pPr>
        <w:spacing w:after="120" w:before="60" w:line="300"/>
        <w:jc w:val="both"/>
      </w:pPr>
      <w:r>
        <w:rPr>
          <w:rFonts w:ascii="Calibri" w:cs="Calibri" w:eastAsia="Calibri" w:hAnsi="Calibri"/>
          <w:b w:val="false"/>
          <w:bCs w:val="false"/>
          <w:i w:val="false"/>
          <w:iCs w:val="false"/>
          <w:color w:val="2C2C2C"/>
          <w:sz w:val="22"/>
          <w:szCs w:val="22"/>
        </w:rPr>
        <w:t xml:space="preserve">The paper recommends two to three facilities rather than a single mega facility for four reasons.</w:t>
      </w:r>
    </w:p>
    <w:p>
      <w:pPr>
        <w:spacing w:after="120" w:before="60" w:line="300"/>
        <w:jc w:val="both"/>
      </w:pPr>
      <w:r>
        <w:rPr>
          <w:rFonts w:ascii="Calibri" w:cs="Calibri" w:eastAsia="Calibri" w:hAnsi="Calibri"/>
          <w:b w:val="false"/>
          <w:bCs w:val="false"/>
          <w:i w:val="false"/>
          <w:iCs w:val="false"/>
          <w:color w:val="2C2C2C"/>
          <w:sz w:val="22"/>
          <w:szCs w:val="22"/>
        </w:rPr>
        <w:t xml:space="preserve">The first reason is resilience. A single facility is a single point of failure, whether from natural disaster, industrial accident, cybersecurity incident, or deliberate attack. Multiple facilities provide redundancy and sustain production even when one site is offline.</w:t>
      </w:r>
    </w:p>
    <w:p>
      <w:pPr>
        <w:spacing w:after="120" w:before="60" w:line="300"/>
        <w:jc w:val="both"/>
      </w:pPr>
      <w:r>
        <w:rPr>
          <w:rFonts w:ascii="Calibri" w:cs="Calibri" w:eastAsia="Calibri" w:hAnsi="Calibri"/>
          <w:b w:val="false"/>
          <w:bCs w:val="false"/>
          <w:i w:val="false"/>
          <w:iCs w:val="false"/>
          <w:color w:val="2C2C2C"/>
          <w:sz w:val="22"/>
          <w:szCs w:val="22"/>
        </w:rPr>
        <w:t xml:space="preserve">The second reason is workforce. A single facility of the required total capacity would need to recruit and retain several thousand specialists. Spreading the workforce across two or three sites in different geographic regions eases recruitment and reduces the wage pressure that a single concentrated hire would create.</w:t>
      </w:r>
    </w:p>
    <w:p>
      <w:pPr>
        <w:spacing w:after="120" w:before="60" w:line="300"/>
        <w:jc w:val="both"/>
      </w:pPr>
      <w:r>
        <w:rPr>
          <w:rFonts w:ascii="Calibri" w:cs="Calibri" w:eastAsia="Calibri" w:hAnsi="Calibri"/>
          <w:b w:val="false"/>
          <w:bCs w:val="false"/>
          <w:i w:val="false"/>
          <w:iCs w:val="false"/>
          <w:color w:val="2C2C2C"/>
          <w:sz w:val="22"/>
          <w:szCs w:val="22"/>
        </w:rPr>
        <w:t xml:space="preserve">The third reason is partnership. Engine OEMs and platform primes have their own geographic footprints and preferences. Multiple facilities allow partnerships to form naturally around regional clusters of engine OEMs, prime contractors, and related specialty suppliers.</w:t>
      </w:r>
    </w:p>
    <w:p>
      <w:pPr>
        <w:spacing w:after="120" w:before="60" w:line="300"/>
        <w:jc w:val="both"/>
      </w:pPr>
      <w:r>
        <w:rPr>
          <w:rFonts w:ascii="Calibri" w:cs="Calibri" w:eastAsia="Calibri" w:hAnsi="Calibri"/>
          <w:b w:val="false"/>
          <w:bCs w:val="false"/>
          <w:i w:val="false"/>
          <w:iCs w:val="false"/>
          <w:color w:val="2C2C2C"/>
          <w:sz w:val="22"/>
          <w:szCs w:val="22"/>
        </w:rPr>
        <w:t xml:space="preserve">The fourth reason is political. A manufacturing program of this scale benefits from congressional support in multiple districts. Spreading the footprint across two or three regions broadens the political base that supports the program through its construction, commissioning, and operational phases.</w:t>
      </w:r>
    </w:p>
    <w:p>
      <w:pPr>
        <w:pStyle w:val="Heading2"/>
        <w:spacing w:after="140" w:before="300" w:line="300"/>
      </w:pPr>
      <w:r>
        <w:rPr>
          <w:rFonts w:ascii="Calibri" w:cs="Calibri" w:eastAsia="Calibri" w:hAnsi="Calibri"/>
          <w:b/>
          <w:bCs/>
          <w:color w:val="1B2A4A"/>
          <w:sz w:val="28"/>
          <w:szCs w:val="28"/>
        </w:rPr>
        <w:t xml:space="preserve">11.4 The Atlanta Case as Primary Site Candidate</w:t>
      </w:r>
    </w:p>
    <w:p>
      <w:pPr>
        <w:spacing w:after="120" w:before="60" w:line="300"/>
        <w:jc w:val="both"/>
      </w:pPr>
      <w:r>
        <w:rPr>
          <w:rFonts w:ascii="Calibri" w:cs="Calibri" w:eastAsia="Calibri" w:hAnsi="Calibri"/>
          <w:b w:val="false"/>
          <w:bCs w:val="false"/>
          <w:i w:val="false"/>
          <w:iCs w:val="false"/>
          <w:color w:val="2C2C2C"/>
          <w:sz w:val="22"/>
          <w:szCs w:val="22"/>
        </w:rPr>
        <w:t xml:space="preserve">The Atlanta area advanced manufacturing corridor is the primary site candidate for the first facility. The rationale is straightforward. Georgia Tech is an anchor research institution for direct digital manufacturing, metallurgy, and materials science. DDM Systems is already located in Atlanta with an active Digital Foundry installation, and any new facility can either be co-located with or staffed from the existing operation. The region has a growing aerospace and defense cluster anchored by Delta TechOps, Lockheed Martin Marietta, and a range of tier two and tier three suppliers. Cost of business is moderate. Incentive programs for advanced manufacturing are competitive with any state in the nation.</w:t>
      </w:r>
    </w:p>
    <w:p>
      <w:pPr>
        <w:spacing w:after="120" w:before="60" w:line="300"/>
        <w:jc w:val="both"/>
      </w:pPr>
      <w:r>
        <w:rPr>
          <w:rFonts w:ascii="Calibri" w:cs="Calibri" w:eastAsia="Calibri" w:hAnsi="Calibri"/>
          <w:b w:val="false"/>
          <w:bCs w:val="false"/>
          <w:i w:val="false"/>
          <w:iCs w:val="false"/>
          <w:color w:val="2C2C2C"/>
          <w:sz w:val="22"/>
          <w:szCs w:val="22"/>
        </w:rPr>
        <w:t xml:space="preserve">Subsequent facility sites should be selected through a formal comparative analysis that evaluates workforce availability, infrastructure, proximity to engine OEMs, access to federal incentive programs, and security profile. Candidate regions include central Ohio, where the Air Force Research Laboratory and several engine OEM footprints create a natural cluster, and the central Florida space coast corridor, where Aerojet Rocketdyne and space launch activity create adjacent demand for the same capabilities.</w:t>
      </w:r>
    </w:p>
    <w:p>
      <w:pPr>
        <w:pageBreakBefore/>
        <w:spacing w:after="60" w:before="200"/>
      </w:pPr>
      <w:r>
        <w:rPr>
          <w:rFonts w:ascii="Calibri" w:cs="Calibri" w:eastAsia="Calibri" w:hAnsi="Calibri"/>
          <w:b/>
          <w:bCs/>
          <w:color w:val="2E5C8A"/>
          <w:sz w:val="18"/>
          <w:szCs w:val="18"/>
        </w:rPr>
        <w:t xml:space="preserve">SECTION 12</w:t>
      </w:r>
    </w:p>
    <w:p>
      <w:pPr>
        <w:pStyle w:val="Heading1"/>
        <w:spacing w:after="200" w:before="400" w:line="300"/>
      </w:pPr>
      <w:r>
        <w:rPr>
          <w:rFonts w:ascii="Calibri" w:cs="Calibri" w:eastAsia="Calibri" w:hAnsi="Calibri"/>
          <w:b/>
          <w:bCs/>
          <w:color w:val="1B2A4A"/>
          <w:sz w:val="36"/>
          <w:szCs w:val="36"/>
        </w:rPr>
        <w:t xml:space="preserve">Business and Economic Analysis</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This section examines the business and economic case for the facility investment. It covers capital and operating costs, revenue potential, financial returns, and the macroeconomic benefits of domestic manufacturing capacity in a critical defense category. The analysis is illustrative rather than pro forma. Detailed financial modeling will be developed in the site selection and partnership modeling phases recommended in the next section.</w:t>
      </w:r>
    </w:p>
    <w:p>
      <w:pPr>
        <w:pStyle w:val="Heading2"/>
        <w:spacing w:after="140" w:before="300" w:line="300"/>
      </w:pPr>
      <w:r>
        <w:rPr>
          <w:rFonts w:ascii="Calibri" w:cs="Calibri" w:eastAsia="Calibri" w:hAnsi="Calibri"/>
          <w:b/>
          <w:bCs/>
          <w:color w:val="1B2A4A"/>
          <w:sz w:val="28"/>
          <w:szCs w:val="28"/>
        </w:rPr>
        <w:t xml:space="preserve">12.1 Capital Cost Framework</w:t>
      </w:r>
    </w:p>
    <w:p>
      <w:pPr>
        <w:spacing w:after="120" w:before="60" w:line="300"/>
        <w:jc w:val="both"/>
      </w:pPr>
      <w:r>
        <w:rPr>
          <w:rFonts w:ascii="Calibri" w:cs="Calibri" w:eastAsia="Calibri" w:hAnsi="Calibri"/>
          <w:b w:val="false"/>
          <w:bCs w:val="false"/>
          <w:i w:val="false"/>
          <w:iCs w:val="false"/>
          <w:color w:val="2C2C2C"/>
          <w:sz w:val="22"/>
          <w:szCs w:val="22"/>
        </w:rPr>
        <w:t xml:space="preserve">A fully integrated digital investment casting facility with a LAMP™ machine complement sufficient for several thousand cast airfoils per month requires substantial capital investment on the scale typical of specialty defense aerospace manufacturing installations. The total reflects site specific costs for land and building, the specific configuration of LAMP™ equipment, vacuum induction melting and directional solidification furnaces, hot isostatic pressing capability, heat treatment furnaces, machining and finishing equipment, nondestructive inspection capability, and the information technology and security infrastructure that ties everything together.</w:t>
      </w:r>
    </w:p>
    <w:p>
      <w:pPr>
        <w:spacing w:after="120" w:before="60" w:line="300"/>
        <w:jc w:val="both"/>
      </w:pPr>
      <w:r>
        <w:rPr>
          <w:rFonts w:ascii="Calibri" w:cs="Calibri" w:eastAsia="Calibri" w:hAnsi="Calibri"/>
          <w:b w:val="false"/>
          <w:bCs w:val="false"/>
          <w:i w:val="false"/>
          <w:iCs w:val="false"/>
          <w:color w:val="2C2C2C"/>
          <w:sz w:val="22"/>
          <w:szCs w:val="22"/>
        </w:rPr>
        <w:t xml:space="preserve">Approximately half of the capital cost is typically equipment, a quarter is building and infrastructure, and the remaining quarter is engineering, commissioning, qualification, and contingency. This split varies with site characteristics and with specific partnership arrangements. A facility co-located with an existing foundry, for example, may require less capital for some equipment categories because capacity is shared with the partner.</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2340"/>
        <w:gridCol w:w="3900"/>
      </w:tblGrid>
      <w:tr>
        <w:trPr>
          <w:cantSplit/>
          <w:tblHeader/>
        </w:trPr>
        <w:tc>
          <w:tcPr>
            <w:tcW w:type="dxa" w:w="312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Cost Category</w:t>
            </w:r>
          </w:p>
        </w:tc>
        <w:tc>
          <w:tcPr>
            <w:tcW w:type="dxa" w:w="234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Share of Capital</w:t>
            </w:r>
          </w:p>
        </w:tc>
        <w:tc>
          <w:tcPr>
            <w:tcW w:type="dxa" w:w="390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Notes</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LAMP™ printing equipment and ancillary</w:t>
            </w:r>
          </w:p>
        </w:tc>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Largest single category</w:t>
            </w:r>
          </w:p>
        </w:tc>
        <w:tc>
          <w:tcPr>
            <w:tcW w:type="dxa" w:w="39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Scales with machine count, 15 to 40 machines typical</w:t>
            </w:r>
          </w:p>
        </w:tc>
      </w:tr>
      <w:tr>
        <w:trPr>
          <w:cantSplit/>
        </w:trPr>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Firing and post print processing</w:t>
            </w:r>
          </w:p>
        </w:tc>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Modest</w:t>
            </w:r>
          </w:p>
        </w:tc>
        <w:tc>
          <w:tcPr>
            <w:tcW w:type="dxa" w:w="390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Furnaces, handling, shell inspection</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Foundry equipment</w:t>
            </w:r>
          </w:p>
        </w:tc>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Significant</w:t>
            </w:r>
          </w:p>
        </w:tc>
        <w:tc>
          <w:tcPr>
            <w:tcW w:type="dxa" w:w="39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VIM, DS furnaces, ingot handling</w:t>
            </w:r>
          </w:p>
        </w:tc>
      </w:tr>
      <w:tr>
        <w:trPr>
          <w:cantSplit/>
        </w:trPr>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Hot isostatic pressing and heat treatment</w:t>
            </w:r>
          </w:p>
        </w:tc>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Significant</w:t>
            </w:r>
          </w:p>
        </w:tc>
        <w:tc>
          <w:tcPr>
            <w:tcW w:type="dxa" w:w="390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Can be partnered rather than owned</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Machining, finishing, NDT</w:t>
            </w:r>
          </w:p>
        </w:tc>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Modest</w:t>
            </w:r>
          </w:p>
        </w:tc>
        <w:tc>
          <w:tcPr>
            <w:tcW w:type="dxa" w:w="39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CNC, CMM, CT scan, digital radiography</w:t>
            </w:r>
          </w:p>
        </w:tc>
      </w:tr>
      <w:tr>
        <w:trPr>
          <w:cantSplit/>
        </w:trPr>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Building, utilities, infrastructure</w:t>
            </w:r>
          </w:p>
        </w:tc>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Significant</w:t>
            </w:r>
          </w:p>
        </w:tc>
        <w:tc>
          <w:tcPr>
            <w:tcW w:type="dxa" w:w="390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Varies significantly by site</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Engineering, commissioning, qualification</w:t>
            </w:r>
          </w:p>
        </w:tc>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Modest</w:t>
            </w:r>
          </w:p>
        </w:tc>
        <w:tc>
          <w:tcPr>
            <w:tcW w:type="dxa" w:w="390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Includes first article qualification program</w:t>
            </w:r>
          </w:p>
        </w:tc>
      </w:tr>
    </w:tbl>
    <w:p>
      <w:pPr>
        <w:spacing w:after="200" w:before="0"/>
      </w:pPr>
      <w:r>
        <w:t xml:space="preserve"/>
      </w:r>
    </w:p>
    <w:p>
      <w:pPr>
        <w:pStyle w:val="Heading2"/>
        <w:spacing w:after="140" w:before="300" w:line="300"/>
      </w:pPr>
      <w:r>
        <w:rPr>
          <w:rFonts w:ascii="Calibri" w:cs="Calibri" w:eastAsia="Calibri" w:hAnsi="Calibri"/>
          <w:b/>
          <w:bCs/>
          <w:color w:val="1B2A4A"/>
          <w:sz w:val="28"/>
          <w:szCs w:val="28"/>
        </w:rPr>
        <w:t xml:space="preserve">12.2 Operating Cost Structure</w:t>
      </w:r>
    </w:p>
    <w:p>
      <w:pPr>
        <w:spacing w:after="120" w:before="60" w:line="300"/>
        <w:jc w:val="both"/>
      </w:pPr>
      <w:r>
        <w:rPr>
          <w:rFonts w:ascii="Calibri" w:cs="Calibri" w:eastAsia="Calibri" w:hAnsi="Calibri"/>
          <w:b w:val="false"/>
          <w:bCs w:val="false"/>
          <w:i w:val="false"/>
          <w:iCs w:val="false"/>
          <w:color w:val="2C2C2C"/>
          <w:sz w:val="22"/>
          <w:szCs w:val="22"/>
        </w:rPr>
        <w:t xml:space="preserve">Operating costs for a digital investment casting facility are dominated by four categories, namely labor, ceramic and metal raw material, utilities, and overhead including quality and security. Labor is typically thirty to forty percent of operating cost at full rate, raw materials are twenty five to thirty five percent, utilities are ten to fifteen percent, and overhead is the balance. The relative shares shift with utilization, with labor share falling as utilization rises.</w:t>
      </w:r>
    </w:p>
    <w:p>
      <w:pPr>
        <w:spacing w:after="120" w:before="60" w:line="300"/>
        <w:jc w:val="both"/>
      </w:pPr>
      <w:r>
        <w:rPr>
          <w:rFonts w:ascii="Calibri" w:cs="Calibri" w:eastAsia="Calibri" w:hAnsi="Calibri"/>
          <w:b w:val="false"/>
          <w:bCs w:val="false"/>
          <w:i w:val="false"/>
          <w:iCs w:val="false"/>
          <w:color w:val="2C2C2C"/>
          <w:sz w:val="22"/>
          <w:szCs w:val="22"/>
        </w:rPr>
        <w:t xml:space="preserve">A digital casting facility exhibits meaningful operating leverage because the capital base is large and the incremental cost of an additional blade is relatively small once the fixed cost base is covered. Facilities running at sixty percent utilization earn materially lower margins than facilities running at eighty percent or higher. This is a strong argument for anchoring a facility with a firm Replicator baseline contract before scaling to additional commercial or adjacent defense work.</w:t>
      </w:r>
    </w:p>
    <w:p>
      <w:pPr>
        <w:pStyle w:val="Heading2"/>
        <w:spacing w:after="140" w:before="300" w:line="300"/>
      </w:pPr>
      <w:r>
        <w:rPr>
          <w:rFonts w:ascii="Calibri" w:cs="Calibri" w:eastAsia="Calibri" w:hAnsi="Calibri"/>
          <w:b/>
          <w:bCs/>
          <w:color w:val="1B2A4A"/>
          <w:sz w:val="28"/>
          <w:szCs w:val="28"/>
        </w:rPr>
        <w:t xml:space="preserve">12.3 Revenue Potential</w:t>
      </w:r>
    </w:p>
    <w:p>
      <w:pPr>
        <w:spacing w:after="120" w:before="60" w:line="300"/>
        <w:jc w:val="both"/>
      </w:pPr>
      <w:r>
        <w:rPr>
          <w:rFonts w:ascii="Calibri" w:cs="Calibri" w:eastAsia="Calibri" w:hAnsi="Calibri"/>
          <w:b w:val="false"/>
          <w:bCs w:val="false"/>
          <w:i w:val="false"/>
          <w:iCs w:val="false"/>
          <w:color w:val="2C2C2C"/>
          <w:sz w:val="22"/>
          <w:szCs w:val="22"/>
        </w:rPr>
        <w:t xml:space="preserve">A facility sized for several thousand cast airfoils per month at full rate, priced at Replicator-aligned attritable economics rather than exquisite aerospace economics, can reasonably project annual revenue at a scale consistent with comparable specialty investment casting operations serving defense aerospace. Revenue scales with product mix, pricing, and utilization, and is supported by the cost structure advantages of digital casting relative to conventional approaches.</w:t>
      </w:r>
    </w:p>
    <w:p>
      <w:pPr>
        <w:spacing w:after="120" w:before="60" w:line="300"/>
        <w:jc w:val="both"/>
      </w:pPr>
      <w:r>
        <w:rPr>
          <w:rFonts w:ascii="Calibri" w:cs="Calibri" w:eastAsia="Calibri" w:hAnsi="Calibri"/>
          <w:b w:val="false"/>
          <w:bCs w:val="false"/>
          <w:i w:val="false"/>
          <w:iCs w:val="false"/>
          <w:color w:val="2C2C2C"/>
          <w:sz w:val="22"/>
          <w:szCs w:val="22"/>
        </w:rPr>
        <w:t xml:space="preserve">Revenue composition is expected to be dominated in the early years by Replicator direct and indirect demand, with growing contributions from adjacent commercial and defense markets as the facility demonstrates production maturity. Industrial gas turbine spares, legacy aircraft sustainment, hypersonic vehicle hot sections, and allied partner demand are all credible adjacent revenue streams that can fill capacity between Replicator tranche awards.</w:t>
      </w:r>
    </w:p>
    <w:p>
      <w:pPr>
        <w:pStyle w:val="Heading2"/>
        <w:spacing w:after="140" w:before="300" w:line="300"/>
      </w:pPr>
      <w:r>
        <w:rPr>
          <w:rFonts w:ascii="Calibri" w:cs="Calibri" w:eastAsia="Calibri" w:hAnsi="Calibri"/>
          <w:b/>
          <w:bCs/>
          <w:color w:val="1B2A4A"/>
          <w:sz w:val="28"/>
          <w:szCs w:val="28"/>
        </w:rPr>
        <w:t xml:space="preserve">12.4 Return Profile</w:t>
      </w:r>
    </w:p>
    <w:p>
      <w:pPr>
        <w:spacing w:after="120" w:before="60" w:line="300"/>
        <w:jc w:val="both"/>
      </w:pPr>
      <w:r>
        <w:rPr>
          <w:rFonts w:ascii="Calibri" w:cs="Calibri" w:eastAsia="Calibri" w:hAnsi="Calibri"/>
          <w:b w:val="false"/>
          <w:bCs w:val="false"/>
          <w:i w:val="false"/>
          <w:iCs w:val="false"/>
          <w:color w:val="2C2C2C"/>
          <w:sz w:val="22"/>
          <w:szCs w:val="22"/>
        </w:rPr>
        <w:t xml:space="preserve">The unlevered return on invested capital profile is typical for a specialty manufacturing facility serving defense aerospace. Paybacks in the range of five to eight years are realistic at reasonable utilization assumptions. Returns improve materially with public private financing that reduces the effective cost of capital for the investor, which is precisely the role that Defense Production Act Title III investment and analogous authorities can play.</w:t>
      </w:r>
    </w:p>
    <w:p>
      <w:pPr>
        <w:spacing w:after="120" w:before="60" w:line="300"/>
        <w:jc w:val="both"/>
      </w:pPr>
      <w:r>
        <w:rPr>
          <w:rFonts w:ascii="Calibri" w:cs="Calibri" w:eastAsia="Calibri" w:hAnsi="Calibri"/>
          <w:b w:val="false"/>
          <w:bCs w:val="false"/>
          <w:i w:val="false"/>
          <w:iCs w:val="false"/>
          <w:color w:val="2C2C2C"/>
          <w:sz w:val="22"/>
          <w:szCs w:val="22"/>
        </w:rPr>
        <w:t xml:space="preserve">The financial returns are attractive on their own merits, but the strategic case for the investment extends beyond the direct financial return. The option value of having domestic capacity in a critical defense category is significant, and the macroeconomic benefits of high skill manufacturing employment in U.S. aerospace corridors are substantial. These benefits are not captured in the direct financial return but are material to the policy case for the investment.</w:t>
      </w:r>
    </w:p>
    <w:p>
      <w:pPr>
        <w:spacing w:after="160" w:before="0"/>
      </w:pPr>
      <w:r>
        <w:t xml:space="preserve"/>
      </w:r>
    </w:p>
    <w:p>
      <w:pPr>
        <w:pStyle w:val="Heading2"/>
        <w:spacing w:after="140" w:before="300" w:line="300"/>
      </w:pPr>
      <w:r>
        <w:rPr>
          <w:rFonts w:ascii="Calibri" w:cs="Calibri" w:eastAsia="Calibri" w:hAnsi="Calibri"/>
          <w:b/>
          <w:bCs/>
          <w:color w:val="1B2A4A"/>
          <w:sz w:val="28"/>
          <w:szCs w:val="28"/>
        </w:rPr>
        <w:t xml:space="preserve">12.5 Macroeconomic and Strategic Benefits</w:t>
      </w:r>
    </w:p>
    <w:p>
      <w:pPr>
        <w:pStyle w:val="Heading4"/>
        <w:spacing w:after="80" w:before="180" w:line="280"/>
      </w:pPr>
      <w:r>
        <w:rPr>
          <w:rFonts w:ascii="Calibri" w:cs="Calibri" w:eastAsia="Calibri" w:hAnsi="Calibri"/>
          <w:b/>
          <w:bCs/>
          <w:color w:val="0F1B33"/>
          <w:sz w:val="22"/>
          <w:szCs w:val="22"/>
        </w:rPr>
        <w:t xml:space="preserve">Supply Chain Resilience</w:t>
      </w:r>
    </w:p>
    <w:p>
      <w:pPr>
        <w:spacing w:after="120" w:before="60" w:line="300"/>
        <w:jc w:val="both"/>
      </w:pPr>
      <w:r>
        <w:rPr>
          <w:rFonts w:ascii="Calibri" w:cs="Calibri" w:eastAsia="Calibri" w:hAnsi="Calibri"/>
          <w:b w:val="false"/>
          <w:bCs w:val="false"/>
          <w:i w:val="false"/>
          <w:iCs w:val="false"/>
          <w:color w:val="2C2C2C"/>
          <w:sz w:val="22"/>
          <w:szCs w:val="22"/>
        </w:rPr>
        <w:t xml:space="preserve">A domestic digital investment casting capability, combined with expanded domestic ceramic shell supply and HIP capacity, removes a critical single point of failure in the attritable propulsion supply chain. In the absence of domestic capacity, any attritable propulsion requirement that cannot be met by existing aerospace foundries would need to be met by foreign sources, with attendant risks to supply security, quality control, and intellectual property.</w:t>
      </w:r>
    </w:p>
    <w:p>
      <w:pPr>
        <w:pStyle w:val="Heading4"/>
        <w:spacing w:after="80" w:before="180" w:line="280"/>
      </w:pPr>
      <w:r>
        <w:rPr>
          <w:rFonts w:ascii="Calibri" w:cs="Calibri" w:eastAsia="Calibri" w:hAnsi="Calibri"/>
          <w:b/>
          <w:bCs/>
          <w:color w:val="0F1B33"/>
          <w:sz w:val="22"/>
          <w:szCs w:val="22"/>
        </w:rPr>
        <w:t xml:space="preserve">High Skill Employment</w:t>
      </w:r>
    </w:p>
    <w:p>
      <w:pPr>
        <w:spacing w:after="120" w:before="60" w:line="300"/>
        <w:jc w:val="both"/>
      </w:pPr>
      <w:r>
        <w:rPr>
          <w:rFonts w:ascii="Calibri" w:cs="Calibri" w:eastAsia="Calibri" w:hAnsi="Calibri"/>
          <w:b w:val="false"/>
          <w:bCs w:val="false"/>
          <w:i w:val="false"/>
          <w:iCs w:val="false"/>
          <w:color w:val="2C2C2C"/>
          <w:sz w:val="22"/>
          <w:szCs w:val="22"/>
        </w:rPr>
        <w:t xml:space="preserve">A facility at the scale described creates in the range of four hundred to eight hundred direct manufacturing jobs, distributed across metallurgy, additive manufacturing, foundry operations, machining, inspection, engineering, and quality. The multiplier effect on regional economies, through local supply chains and induced employment, is meaningful. Aerospace corridor states with existing industrial depth are well positioned to absorb these jobs productively.</w:t>
      </w:r>
    </w:p>
    <w:p>
      <w:pPr>
        <w:pStyle w:val="Heading4"/>
        <w:spacing w:after="80" w:before="180" w:line="280"/>
      </w:pPr>
      <w:r>
        <w:rPr>
          <w:rFonts w:ascii="Calibri" w:cs="Calibri" w:eastAsia="Calibri" w:hAnsi="Calibri"/>
          <w:b/>
          <w:bCs/>
          <w:color w:val="0F1B33"/>
          <w:sz w:val="22"/>
          <w:szCs w:val="22"/>
        </w:rPr>
        <w:t xml:space="preserve">Federal Incentive Alignment</w:t>
      </w:r>
    </w:p>
    <w:p>
      <w:pPr>
        <w:spacing w:after="120" w:before="60" w:line="300"/>
        <w:jc w:val="both"/>
      </w:pPr>
      <w:r>
        <w:rPr>
          <w:rFonts w:ascii="Calibri" w:cs="Calibri" w:eastAsia="Calibri" w:hAnsi="Calibri"/>
          <w:b w:val="false"/>
          <w:bCs w:val="false"/>
          <w:i w:val="false"/>
          <w:iCs w:val="false"/>
          <w:color w:val="2C2C2C"/>
          <w:sz w:val="22"/>
          <w:szCs w:val="22"/>
        </w:rPr>
        <w:t xml:space="preserve">The facility investment aligns with several federal incentive frameworks. The CHIPS and Science Act, while primarily focused on semiconductors, includes advanced manufacturing incentives that extend to aerospace and defense categories. The Defense Production Act Title III authority provides investment tools specifically for critical defense production. The Department of Energy's HPC4EI program and related industrial energy efficiency programs can support the process modeling and energy reduction aspects of digital casting.</w:t>
      </w:r>
    </w:p>
    <w:p>
      <w:pPr>
        <w:pStyle w:val="Heading4"/>
        <w:spacing w:after="80" w:before="180" w:line="280"/>
      </w:pPr>
      <w:r>
        <w:rPr>
          <w:rFonts w:ascii="Calibri" w:cs="Calibri" w:eastAsia="Calibri" w:hAnsi="Calibri"/>
          <w:b/>
          <w:bCs/>
          <w:color w:val="0F1B33"/>
          <w:sz w:val="22"/>
          <w:szCs w:val="22"/>
        </w:rPr>
        <w:t xml:space="preserve">Department of Government Efficiency Priorities</w:t>
      </w:r>
    </w:p>
    <w:p>
      <w:pPr>
        <w:spacing w:after="120" w:before="60" w:line="300"/>
        <w:jc w:val="both"/>
      </w:pPr>
      <w:r>
        <w:rPr>
          <w:rFonts w:ascii="Calibri" w:cs="Calibri" w:eastAsia="Calibri" w:hAnsi="Calibri"/>
          <w:b w:val="false"/>
          <w:bCs w:val="false"/>
          <w:i w:val="false"/>
          <w:iCs w:val="false"/>
          <w:color w:val="2C2C2C"/>
          <w:sz w:val="22"/>
          <w:szCs w:val="22"/>
        </w:rPr>
        <w:t xml:space="preserve">The efficiency and cost reduction outcomes of digital investment casting align with the priorities articulated by the Department of Government Efficiency. Thirty to fifty percent cost reduction versus conventional casting, ten times lead time compression, and up to ninety percent energy reduction are measurable, auditable improvements in the defense manufacturing base. A program that can point to these results is well positioned under any administration that emphasizes efficiency in defense spending.</w:t>
      </w:r>
    </w:p>
    <w:p>
      <w:pPr>
        <w:pStyle w:val="Heading2"/>
        <w:spacing w:after="140" w:before="300" w:line="300"/>
      </w:pPr>
      <w:r>
        <w:rPr>
          <w:rFonts w:ascii="Calibri" w:cs="Calibri" w:eastAsia="Calibri" w:hAnsi="Calibri"/>
          <w:b/>
          <w:bCs/>
          <w:color w:val="1B2A4A"/>
          <w:sz w:val="28"/>
          <w:szCs w:val="28"/>
        </w:rPr>
        <w:t xml:space="preserve">12.6 Risks to the Financial Case</w:t>
      </w:r>
    </w:p>
    <w:p>
      <w:pPr>
        <w:spacing w:after="120" w:before="60" w:line="300"/>
        <w:jc w:val="both"/>
      </w:pPr>
      <w:r>
        <w:rPr>
          <w:rFonts w:ascii="Calibri" w:cs="Calibri" w:eastAsia="Calibri" w:hAnsi="Calibri"/>
          <w:b w:val="false"/>
          <w:bCs w:val="false"/>
          <w:i w:val="false"/>
          <w:iCs w:val="false"/>
          <w:color w:val="2C2C2C"/>
          <w:sz w:val="22"/>
          <w:szCs w:val="22"/>
        </w:rPr>
        <w:t xml:space="preserve">No analysis of this kind is complete without an honest discussion of the risks to the financial projections. The principal risks are program volume risk, price risk, technology risk, and macroeconomic risk.</w:t>
      </w:r>
    </w:p>
    <w:p>
      <w:pPr>
        <w:spacing w:after="120" w:before="60" w:line="300"/>
        <w:jc w:val="both"/>
      </w:pPr>
      <w:r>
        <w:rPr>
          <w:rFonts w:ascii="Calibri" w:cs="Calibri" w:eastAsia="Calibri" w:hAnsi="Calibri"/>
          <w:b w:val="false"/>
          <w:bCs w:val="false"/>
          <w:i w:val="false"/>
          <w:iCs w:val="false"/>
          <w:color w:val="2C2C2C"/>
          <w:sz w:val="22"/>
          <w:szCs w:val="22"/>
        </w:rPr>
        <w:t xml:space="preserve">Program volume risk is the possibility that the Replicator procurement cadence falls short of expectations. This risk is mitigated by the breadth of the Replicator portfolio, by confirmed multi-year funding, and by adjacent market opportunities that can backfill capacity if Replicator volumes disappoint. It is not, however, eliminable, and investors should anticipate some variance in near-term volumes.</w:t>
      </w:r>
    </w:p>
    <w:p>
      <w:pPr>
        <w:spacing w:after="120" w:before="60" w:line="300"/>
        <w:jc w:val="both"/>
      </w:pPr>
      <w:r>
        <w:rPr>
          <w:rFonts w:ascii="Calibri" w:cs="Calibri" w:eastAsia="Calibri" w:hAnsi="Calibri"/>
          <w:b w:val="false"/>
          <w:bCs w:val="false"/>
          <w:i w:val="false"/>
          <w:iCs w:val="false"/>
          <w:color w:val="2C2C2C"/>
          <w:sz w:val="22"/>
          <w:szCs w:val="22"/>
        </w:rPr>
        <w:t xml:space="preserve">Price risk is the possibility that attritable pricing compresses further than current estimates anticipate. This risk is partially mitigated by the scale economics of digital casting, which offer further cost reduction as volumes grow. Programs that lock in pricing too early in the facility ramp will experience this risk more acutely than those that preserve pricing flexibility.</w:t>
      </w:r>
    </w:p>
    <w:p>
      <w:pPr>
        <w:spacing w:after="120" w:before="60" w:line="300"/>
        <w:jc w:val="both"/>
      </w:pPr>
      <w:r>
        <w:rPr>
          <w:rFonts w:ascii="Calibri" w:cs="Calibri" w:eastAsia="Calibri" w:hAnsi="Calibri"/>
          <w:b w:val="false"/>
          <w:bCs w:val="false"/>
          <w:i w:val="false"/>
          <w:iCs w:val="false"/>
          <w:color w:val="2C2C2C"/>
          <w:sz w:val="22"/>
          <w:szCs w:val="22"/>
        </w:rPr>
        <w:t xml:space="preserve">Technology risk is the possibility that the digital casting process encounters unforeseen qualification, yield, or reliability issues at scale. This risk is mitigated by the existing production references at DDM Systems, by the active ARPA-E yield data set, and by the multi-year deployment track record of the technology stack. It is further mitigated by careful qualification program design and by Defense Innovation Unit support for the relaxed qualification pathway.</w:t>
      </w:r>
    </w:p>
    <w:p>
      <w:pPr>
        <w:spacing w:after="120" w:before="60" w:line="300"/>
        <w:jc w:val="both"/>
      </w:pPr>
      <w:r>
        <w:rPr>
          <w:rFonts w:ascii="Calibri" w:cs="Calibri" w:eastAsia="Calibri" w:hAnsi="Calibri"/>
          <w:b w:val="false"/>
          <w:bCs w:val="false"/>
          <w:i w:val="false"/>
          <w:iCs w:val="false"/>
          <w:color w:val="2C2C2C"/>
          <w:sz w:val="22"/>
          <w:szCs w:val="22"/>
        </w:rPr>
        <w:t xml:space="preserve">Macroeconomic risk is the possibility that interest rates, inflation, or broader economic conditions change the effective capital cost of the investment. This risk is shared with any infrastructure investment and is mitigated by public private financing structures that limit the investor's interest rate exposure.</w:t>
      </w:r>
    </w:p>
    <w:p>
      <w:pPr>
        <w:pageBreakBefore/>
        <w:spacing w:after="60" w:before="200"/>
      </w:pPr>
      <w:r>
        <w:rPr>
          <w:rFonts w:ascii="Calibri" w:cs="Calibri" w:eastAsia="Calibri" w:hAnsi="Calibri"/>
          <w:b/>
          <w:bCs/>
          <w:color w:val="2E5C8A"/>
          <w:sz w:val="18"/>
          <w:szCs w:val="18"/>
        </w:rPr>
        <w:t xml:space="preserve">SECTION 13</w:t>
      </w:r>
    </w:p>
    <w:p>
      <w:pPr>
        <w:pStyle w:val="Heading1"/>
        <w:spacing w:after="200" w:before="400" w:line="300"/>
      </w:pPr>
      <w:r>
        <w:rPr>
          <w:rFonts w:ascii="Calibri" w:cs="Calibri" w:eastAsia="Calibri" w:hAnsi="Calibri"/>
          <w:b/>
          <w:bCs/>
          <w:color w:val="1B2A4A"/>
          <w:sz w:val="36"/>
          <w:szCs w:val="36"/>
        </w:rPr>
        <w:t xml:space="preserve">Recommended Path Forward</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This section converts the analysis into a concrete roadmap. The roadmap is framed in four phases, covering the period from initial obligation in late fiscal year 2026 or fiscal year 2027 through full rate production in 2030. It identifies the specific actions, decision points, and funding milestones that define each phase, and it is intended as a starting point for detailed program planning rather than as a complete program plan in itself.</w:t>
      </w:r>
    </w:p>
    <w:p>
      <w:pPr>
        <w:pStyle w:val="Heading2"/>
        <w:spacing w:after="140" w:before="300" w:line="300"/>
      </w:pPr>
      <w:r>
        <w:rPr>
          <w:rFonts w:ascii="Calibri" w:cs="Calibri" w:eastAsia="Calibri" w:hAnsi="Calibri"/>
          <w:b/>
          <w:bCs/>
          <w:color w:val="1B2A4A"/>
          <w:sz w:val="28"/>
          <w:szCs w:val="28"/>
        </w:rPr>
        <w:t xml:space="preserve">13.1 Phase One. 2026 to 2027, Design and Funding</w:t>
      </w:r>
    </w:p>
    <w:p>
      <w:pPr>
        <w:spacing w:after="120" w:before="60" w:line="300"/>
        <w:jc w:val="both"/>
      </w:pPr>
      <w:r>
        <w:rPr>
          <w:rFonts w:ascii="Calibri" w:cs="Calibri" w:eastAsia="Calibri" w:hAnsi="Calibri"/>
          <w:b w:val="false"/>
          <w:bCs w:val="false"/>
          <w:i w:val="false"/>
          <w:iCs w:val="false"/>
          <w:color w:val="2C2C2C"/>
          <w:sz w:val="22"/>
          <w:szCs w:val="22"/>
        </w:rPr>
        <w:t xml:space="preserve">Phase One runs through the remainder of fiscal year 2026 and into fiscal year 2027 and covers site selection, partnership formalization, funding obligation, and the beginning of detailed design. The objective at the end of Phase One is to have committed capital, selected sites, and defined partnership structures ready for construction start in 2028.</w:t>
      </w:r>
    </w:p>
    <w:p>
      <w:pPr>
        <w:pStyle w:val="Heading4"/>
        <w:spacing w:after="80" w:before="180" w:line="280"/>
      </w:pPr>
      <w:r>
        <w:rPr>
          <w:rFonts w:ascii="Calibri" w:cs="Calibri" w:eastAsia="Calibri" w:hAnsi="Calibri"/>
          <w:b/>
          <w:bCs/>
          <w:color w:val="0F1B33"/>
          <w:sz w:val="22"/>
          <w:szCs w:val="22"/>
        </w:rPr>
        <w:t xml:space="preserve">Key Actions</w:t>
      </w:r>
    </w:p>
    <w:p>
      <w:pPr>
        <w:pStyle w:val="ListParagraph"/>
        <w:numPr>
          <w:ilvl w:val="0"/>
          <w:numId w:val="6"/>
        </w:numPr>
        <w:spacing w:after="40" w:before="40" w:line="280"/>
      </w:pPr>
      <w:r>
        <w:rPr>
          <w:rFonts w:ascii="Calibri" w:cs="Calibri" w:eastAsia="Calibri" w:hAnsi="Calibri"/>
          <w:color w:val="2C2C2C"/>
          <w:sz w:val="22"/>
          <w:szCs w:val="22"/>
        </w:rPr>
        <w:t xml:space="preserve">Complete comparative site selection study for the first facility. Atlanta remains the primary candidate based on Georgia Tech anchor, DDM Systems existing operations, and regional aerospace cluster characteristics. Candidate sites for subsequent facilities should be evaluated in parallel.</w:t>
      </w:r>
    </w:p>
    <w:p>
      <w:pPr>
        <w:pStyle w:val="ListParagraph"/>
        <w:numPr>
          <w:ilvl w:val="0"/>
          <w:numId w:val="6"/>
        </w:numPr>
        <w:spacing w:after="40" w:before="40" w:line="280"/>
      </w:pPr>
      <w:r>
        <w:rPr>
          <w:rFonts w:ascii="Calibri" w:cs="Calibri" w:eastAsia="Calibri" w:hAnsi="Calibri"/>
          <w:color w:val="2C2C2C"/>
          <w:sz w:val="22"/>
          <w:szCs w:val="22"/>
        </w:rPr>
        <w:t xml:space="preserve">Obligate Replicator authority funding for the first facility. Target obligation window is fourth quarter of fiscal year 2026 through fiscal year 2027, using Defense Innovation Unit Other Transaction Agreement pathways or Defense Production Act Title III authorities.</w:t>
      </w:r>
    </w:p>
    <w:p>
      <w:pPr>
        <w:pStyle w:val="ListParagraph"/>
        <w:numPr>
          <w:ilvl w:val="0"/>
          <w:numId w:val="6"/>
        </w:numPr>
        <w:spacing w:after="40" w:before="40" w:line="280"/>
      </w:pPr>
      <w:r>
        <w:rPr>
          <w:rFonts w:ascii="Calibri" w:cs="Calibri" w:eastAsia="Calibri" w:hAnsi="Calibri"/>
          <w:color w:val="2C2C2C"/>
          <w:sz w:val="22"/>
          <w:szCs w:val="22"/>
        </w:rPr>
        <w:t xml:space="preserve">Formalize partnership structures with engine OEMs such as PBS Aerospace and UAV Turbines, and with defense primes active in Replicator platform integration. Partnership terms should specify offtake commitments, technical integration interfaces, and intellectual property arrangements.</w:t>
      </w:r>
    </w:p>
    <w:p>
      <w:pPr>
        <w:pStyle w:val="ListParagraph"/>
        <w:numPr>
          <w:ilvl w:val="0"/>
          <w:numId w:val="6"/>
        </w:numPr>
        <w:spacing w:after="40" w:before="40" w:line="280"/>
      </w:pPr>
      <w:r>
        <w:rPr>
          <w:rFonts w:ascii="Calibri" w:cs="Calibri" w:eastAsia="Calibri" w:hAnsi="Calibri"/>
          <w:color w:val="2C2C2C"/>
          <w:sz w:val="22"/>
          <w:szCs w:val="22"/>
        </w:rPr>
        <w:t xml:space="preserve">Complete detailed facility design including layout, equipment specifications, utility plans, and security accreditation strategy. Designs should reach sixty to ninety percent completion before Phase Two construction begins.</w:t>
      </w:r>
    </w:p>
    <w:p>
      <w:pPr>
        <w:pStyle w:val="ListParagraph"/>
        <w:numPr>
          <w:ilvl w:val="0"/>
          <w:numId w:val="6"/>
        </w:numPr>
        <w:spacing w:after="40" w:before="40" w:line="280"/>
      </w:pPr>
      <w:r>
        <w:rPr>
          <w:rFonts w:ascii="Calibri" w:cs="Calibri" w:eastAsia="Calibri" w:hAnsi="Calibri"/>
          <w:color w:val="2C2C2C"/>
          <w:sz w:val="22"/>
          <w:szCs w:val="22"/>
        </w:rPr>
        <w:t xml:space="preserve">Submit facility security plans for Defense Counterintelligence and Security Agency review, and initiate CMMC Level 2 or higher certification process for the facility's cybersecurity posture.</w:t>
      </w:r>
    </w:p>
    <w:p>
      <w:pPr>
        <w:pStyle w:val="ListParagraph"/>
        <w:numPr>
          <w:ilvl w:val="0"/>
          <w:numId w:val="6"/>
        </w:numPr>
        <w:spacing w:after="40" w:before="40" w:line="280"/>
      </w:pPr>
      <w:r>
        <w:rPr>
          <w:rFonts w:ascii="Calibri" w:cs="Calibri" w:eastAsia="Calibri" w:hAnsi="Calibri"/>
          <w:color w:val="2C2C2C"/>
          <w:sz w:val="22"/>
          <w:szCs w:val="22"/>
        </w:rPr>
        <w:t xml:space="preserve">Execute workforce planning, including identification of key hires, partnership with Georgia Tech and other anchor universities for talent pipeline, and coordination with state and local workforce development agencies.</w:t>
      </w:r>
    </w:p>
    <w:p>
      <w:pPr>
        <w:pStyle w:val="Heading2"/>
        <w:spacing w:after="140" w:before="300" w:line="300"/>
      </w:pPr>
      <w:r>
        <w:rPr>
          <w:rFonts w:ascii="Calibri" w:cs="Calibri" w:eastAsia="Calibri" w:hAnsi="Calibri"/>
          <w:b/>
          <w:bCs/>
          <w:color w:val="1B2A4A"/>
          <w:sz w:val="28"/>
          <w:szCs w:val="28"/>
        </w:rPr>
        <w:t xml:space="preserve">13.2 Phase Two. 2028, Construction and Equipment Installation</w:t>
      </w:r>
    </w:p>
    <w:p>
      <w:pPr>
        <w:spacing w:after="120" w:before="60" w:line="300"/>
        <w:jc w:val="both"/>
      </w:pPr>
      <w:r>
        <w:rPr>
          <w:rFonts w:ascii="Calibri" w:cs="Calibri" w:eastAsia="Calibri" w:hAnsi="Calibri"/>
          <w:b w:val="false"/>
          <w:bCs w:val="false"/>
          <w:i w:val="false"/>
          <w:iCs w:val="false"/>
          <w:color w:val="2C2C2C"/>
          <w:sz w:val="22"/>
          <w:szCs w:val="22"/>
        </w:rPr>
        <w:t xml:space="preserve">Phase Two covers construction of the facility, installation of LAMP™ and foundry equipment, initial commissioning activities, and the beginning of the first article qualification program. The objective at the end of Phase Two is to have a commissioned facility ready for initial production trials in 2029.</w:t>
      </w:r>
    </w:p>
    <w:p>
      <w:pPr>
        <w:pStyle w:val="Heading4"/>
        <w:spacing w:after="80" w:before="180" w:line="280"/>
      </w:pPr>
      <w:r>
        <w:rPr>
          <w:rFonts w:ascii="Calibri" w:cs="Calibri" w:eastAsia="Calibri" w:hAnsi="Calibri"/>
          <w:b/>
          <w:bCs/>
          <w:color w:val="0F1B33"/>
          <w:sz w:val="22"/>
          <w:szCs w:val="22"/>
        </w:rPr>
        <w:t xml:space="preserve">Key Actions</w:t>
      </w:r>
    </w:p>
    <w:p>
      <w:pPr>
        <w:pStyle w:val="ListParagraph"/>
        <w:numPr>
          <w:ilvl w:val="0"/>
          <w:numId w:val="7"/>
        </w:numPr>
        <w:spacing w:after="40" w:before="40" w:line="280"/>
      </w:pPr>
      <w:r>
        <w:rPr>
          <w:rFonts w:ascii="Calibri" w:cs="Calibri" w:eastAsia="Calibri" w:hAnsi="Calibri"/>
          <w:color w:val="2C2C2C"/>
          <w:sz w:val="22"/>
          <w:szCs w:val="22"/>
        </w:rPr>
        <w:t xml:space="preserve">Complete facility construction and achieve substantial completion on building systems, utilities, and security infrastructure.</w:t>
      </w:r>
    </w:p>
    <w:p>
      <w:pPr>
        <w:pStyle w:val="ListParagraph"/>
        <w:numPr>
          <w:ilvl w:val="0"/>
          <w:numId w:val="7"/>
        </w:numPr>
        <w:spacing w:after="40" w:before="40" w:line="280"/>
      </w:pPr>
      <w:r>
        <w:rPr>
          <w:rFonts w:ascii="Calibri" w:cs="Calibri" w:eastAsia="Calibri" w:hAnsi="Calibri"/>
          <w:color w:val="2C2C2C"/>
          <w:sz w:val="22"/>
          <w:szCs w:val="22"/>
        </w:rPr>
        <w:t xml:space="preserve">Install LAMP™ printing equipment and complete initial shakedown. Target a ramped installation schedule that brings machines online progressively rather than all at once.</w:t>
      </w:r>
    </w:p>
    <w:p>
      <w:pPr>
        <w:pStyle w:val="ListParagraph"/>
        <w:numPr>
          <w:ilvl w:val="0"/>
          <w:numId w:val="7"/>
        </w:numPr>
        <w:spacing w:after="40" w:before="40" w:line="280"/>
      </w:pPr>
      <w:r>
        <w:rPr>
          <w:rFonts w:ascii="Calibri" w:cs="Calibri" w:eastAsia="Calibri" w:hAnsi="Calibri"/>
          <w:color w:val="2C2C2C"/>
          <w:sz w:val="22"/>
          <w:szCs w:val="22"/>
        </w:rPr>
        <w:t xml:space="preserve">Install vacuum induction melting and directional solidification furnaces, hot isostatic pressing capability where owned rather than partnered, heat treatment, machining, and inspection equipment.</w:t>
      </w:r>
    </w:p>
    <w:p>
      <w:pPr>
        <w:pStyle w:val="ListParagraph"/>
        <w:numPr>
          <w:ilvl w:val="0"/>
          <w:numId w:val="7"/>
        </w:numPr>
        <w:spacing w:after="40" w:before="40" w:line="280"/>
      </w:pPr>
      <w:r>
        <w:rPr>
          <w:rFonts w:ascii="Calibri" w:cs="Calibri" w:eastAsia="Calibri" w:hAnsi="Calibri"/>
          <w:color w:val="2C2C2C"/>
          <w:sz w:val="22"/>
          <w:szCs w:val="22"/>
        </w:rPr>
        <w:t xml:space="preserve">Initiate first MAR-M247 shell print trials using representative attritable turbine blade geometries supplied by engine OEM partners.</w:t>
      </w:r>
    </w:p>
    <w:p>
      <w:pPr>
        <w:pStyle w:val="ListParagraph"/>
        <w:numPr>
          <w:ilvl w:val="0"/>
          <w:numId w:val="7"/>
        </w:numPr>
        <w:spacing w:after="40" w:before="40" w:line="280"/>
      </w:pPr>
      <w:r>
        <w:rPr>
          <w:rFonts w:ascii="Calibri" w:cs="Calibri" w:eastAsia="Calibri" w:hAnsi="Calibri"/>
          <w:color w:val="2C2C2C"/>
          <w:sz w:val="22"/>
          <w:szCs w:val="22"/>
        </w:rPr>
        <w:t xml:space="preserve">Stand up the digital process control infrastructure, including the data architecture that will support the relaxed qualification pathway for attritable systems.</w:t>
      </w:r>
    </w:p>
    <w:p>
      <w:pPr>
        <w:pStyle w:val="ListParagraph"/>
        <w:numPr>
          <w:ilvl w:val="0"/>
          <w:numId w:val="7"/>
        </w:numPr>
        <w:spacing w:after="40" w:before="40" w:line="280"/>
      </w:pPr>
      <w:r>
        <w:rPr>
          <w:rFonts w:ascii="Calibri" w:cs="Calibri" w:eastAsia="Calibri" w:hAnsi="Calibri"/>
          <w:color w:val="2C2C2C"/>
          <w:sz w:val="22"/>
          <w:szCs w:val="22"/>
        </w:rPr>
        <w:t xml:space="preserve">Begin the attritable qualification program in coordination with the Defense Innovation Unit, focusing initially on one or two representative blade designs that can serve as the qualification anchor for the facility.</w:t>
      </w:r>
    </w:p>
    <w:p>
      <w:pPr>
        <w:pStyle w:val="ListParagraph"/>
        <w:numPr>
          <w:ilvl w:val="0"/>
          <w:numId w:val="7"/>
        </w:numPr>
        <w:spacing w:after="40" w:before="40" w:line="280"/>
      </w:pPr>
      <w:r>
        <w:rPr>
          <w:rFonts w:ascii="Calibri" w:cs="Calibri" w:eastAsia="Calibri" w:hAnsi="Calibri"/>
          <w:color w:val="2C2C2C"/>
          <w:sz w:val="22"/>
          <w:szCs w:val="22"/>
        </w:rPr>
        <w:t xml:space="preserve">Complete facility security accreditation, including physical security, personnel clearances, and information security controls.</w:t>
      </w:r>
    </w:p>
    <w:p>
      <w:pPr>
        <w:pStyle w:val="Heading2"/>
        <w:spacing w:after="140" w:before="300" w:line="300"/>
      </w:pPr>
      <w:r>
        <w:rPr>
          <w:rFonts w:ascii="Calibri" w:cs="Calibri" w:eastAsia="Calibri" w:hAnsi="Calibri"/>
          <w:b/>
          <w:bCs/>
          <w:color w:val="1B2A4A"/>
          <w:sz w:val="28"/>
          <w:szCs w:val="28"/>
        </w:rPr>
        <w:t xml:space="preserve">13.3 Phase Three. 2029, Initial Operational Capacity</w:t>
      </w:r>
    </w:p>
    <w:p>
      <w:pPr>
        <w:spacing w:after="120" w:before="60" w:line="300"/>
        <w:jc w:val="both"/>
      </w:pPr>
      <w:r>
        <w:rPr>
          <w:rFonts w:ascii="Calibri" w:cs="Calibri" w:eastAsia="Calibri" w:hAnsi="Calibri"/>
          <w:b w:val="false"/>
          <w:bCs w:val="false"/>
          <w:i w:val="false"/>
          <w:iCs w:val="false"/>
          <w:color w:val="2C2C2C"/>
          <w:sz w:val="22"/>
          <w:szCs w:val="22"/>
        </w:rPr>
        <w:t xml:space="preserve">Phase Three brings the facility to initial operational capacity, including first production deliveries, integration with Replicator platform supply chains, and completion of initial qualification against at least one production blade design. The objective at the end of Phase Three is a facility that is operationally producing and delivering qualified attritable microturbine airfoils at a meaningful rate.</w:t>
      </w:r>
    </w:p>
    <w:p>
      <w:pPr>
        <w:pStyle w:val="Heading4"/>
        <w:spacing w:after="80" w:before="180" w:line="280"/>
      </w:pPr>
      <w:r>
        <w:rPr>
          <w:rFonts w:ascii="Calibri" w:cs="Calibri" w:eastAsia="Calibri" w:hAnsi="Calibri"/>
          <w:b/>
          <w:bCs/>
          <w:color w:val="0F1B33"/>
          <w:sz w:val="22"/>
          <w:szCs w:val="22"/>
        </w:rPr>
        <w:t xml:space="preserve">Key Actions</w:t>
      </w:r>
    </w:p>
    <w:p>
      <w:pPr>
        <w:pStyle w:val="ListParagraph"/>
        <w:numPr>
          <w:ilvl w:val="0"/>
          <w:numId w:val="8"/>
        </w:numPr>
        <w:spacing w:after="40" w:before="40" w:line="280"/>
      </w:pPr>
      <w:r>
        <w:rPr>
          <w:rFonts w:ascii="Calibri" w:cs="Calibri" w:eastAsia="Calibri" w:hAnsi="Calibri"/>
          <w:color w:val="2C2C2C"/>
          <w:sz w:val="22"/>
          <w:szCs w:val="22"/>
        </w:rPr>
        <w:t xml:space="preserve">Achieve first article acceptance on the initial qualification blade design. Transition from qualification production to serial production for that design.</w:t>
      </w:r>
    </w:p>
    <w:p>
      <w:pPr>
        <w:pStyle w:val="ListParagraph"/>
        <w:numPr>
          <w:ilvl w:val="0"/>
          <w:numId w:val="8"/>
        </w:numPr>
        <w:spacing w:after="40" w:before="40" w:line="280"/>
      </w:pPr>
      <w:r>
        <w:rPr>
          <w:rFonts w:ascii="Calibri" w:cs="Calibri" w:eastAsia="Calibri" w:hAnsi="Calibri"/>
          <w:color w:val="2C2C2C"/>
          <w:sz w:val="22"/>
          <w:szCs w:val="22"/>
        </w:rPr>
        <w:t xml:space="preserve">Integrate fully into the supply chain of at least one engine OEM. This includes logistics integration, data exchange protocols, quality data sharing, and configuration management.</w:t>
      </w:r>
    </w:p>
    <w:p>
      <w:pPr>
        <w:pStyle w:val="ListParagraph"/>
        <w:numPr>
          <w:ilvl w:val="0"/>
          <w:numId w:val="8"/>
        </w:numPr>
        <w:spacing w:after="40" w:before="40" w:line="280"/>
      </w:pPr>
      <w:r>
        <w:rPr>
          <w:rFonts w:ascii="Calibri" w:cs="Calibri" w:eastAsia="Calibri" w:hAnsi="Calibri"/>
          <w:color w:val="2C2C2C"/>
          <w:sz w:val="22"/>
          <w:szCs w:val="22"/>
        </w:rPr>
        <w:t xml:space="preserve">Deliver first production blades to Replicator contracted platforms through the engine OEM partnership. Demonstrate on time, on quality delivery at representative volumes.</w:t>
      </w:r>
    </w:p>
    <w:p>
      <w:pPr>
        <w:pStyle w:val="ListParagraph"/>
        <w:numPr>
          <w:ilvl w:val="0"/>
          <w:numId w:val="8"/>
        </w:numPr>
        <w:spacing w:after="40" w:before="40" w:line="280"/>
      </w:pPr>
      <w:r>
        <w:rPr>
          <w:rFonts w:ascii="Calibri" w:cs="Calibri" w:eastAsia="Calibri" w:hAnsi="Calibri"/>
          <w:color w:val="2C2C2C"/>
          <w:sz w:val="22"/>
          <w:szCs w:val="22"/>
        </w:rPr>
        <w:t xml:space="preserve">Expand qualified blade design portfolio beyond the initial qualification anchor to include additional attritable microturbine airfoil designs.</w:t>
      </w:r>
    </w:p>
    <w:p>
      <w:pPr>
        <w:pStyle w:val="ListParagraph"/>
        <w:numPr>
          <w:ilvl w:val="0"/>
          <w:numId w:val="8"/>
        </w:numPr>
        <w:spacing w:after="40" w:before="40" w:line="280"/>
      </w:pPr>
      <w:r>
        <w:rPr>
          <w:rFonts w:ascii="Calibri" w:cs="Calibri" w:eastAsia="Calibri" w:hAnsi="Calibri"/>
          <w:color w:val="2C2C2C"/>
          <w:sz w:val="22"/>
          <w:szCs w:val="22"/>
        </w:rPr>
        <w:t xml:space="preserve">Begin ramp to target steady state production rate. Target at least fifty percent of nameplate capacity by the end of Phase Three.</w:t>
      </w:r>
    </w:p>
    <w:p>
      <w:pPr>
        <w:pStyle w:val="Heading2"/>
        <w:spacing w:after="140" w:before="300" w:line="300"/>
      </w:pPr>
      <w:r>
        <w:rPr>
          <w:rFonts w:ascii="Calibri" w:cs="Calibri" w:eastAsia="Calibri" w:hAnsi="Calibri"/>
          <w:b/>
          <w:bCs/>
          <w:color w:val="1B2A4A"/>
          <w:sz w:val="28"/>
          <w:szCs w:val="28"/>
        </w:rPr>
        <w:t xml:space="preserve">13.4 Phase Four. 2030, Full Rate Production</w:t>
      </w:r>
    </w:p>
    <w:p>
      <w:pPr>
        <w:spacing w:after="120" w:before="60" w:line="300"/>
        <w:jc w:val="both"/>
      </w:pPr>
      <w:r>
        <w:rPr>
          <w:rFonts w:ascii="Calibri" w:cs="Calibri" w:eastAsia="Calibri" w:hAnsi="Calibri"/>
          <w:b w:val="false"/>
          <w:bCs w:val="false"/>
          <w:i w:val="false"/>
          <w:iCs w:val="false"/>
          <w:color w:val="2C2C2C"/>
          <w:sz w:val="22"/>
          <w:szCs w:val="22"/>
        </w:rPr>
        <w:t xml:space="preserve">Phase Four brings the facility to full rate production, including optimization of yield, throughput, and cost, as well as expansion into adjacent markets to fill any capacity not absorbed by Replicator demand. The objective at the end of Phase Four is a mature operation that has established U.S. leadership in attritable microturbine propulsion manufacturing and is positioned to sustain that leadership through the relevant strategic horizon.</w:t>
      </w:r>
    </w:p>
    <w:p>
      <w:pPr>
        <w:pStyle w:val="Heading4"/>
        <w:spacing w:after="80" w:before="180" w:line="280"/>
      </w:pPr>
      <w:r>
        <w:rPr>
          <w:rFonts w:ascii="Calibri" w:cs="Calibri" w:eastAsia="Calibri" w:hAnsi="Calibri"/>
          <w:b/>
          <w:bCs/>
          <w:color w:val="0F1B33"/>
          <w:sz w:val="22"/>
          <w:szCs w:val="22"/>
        </w:rPr>
        <w:t xml:space="preserve">Key Actions</w:t>
      </w:r>
    </w:p>
    <w:p>
      <w:pPr>
        <w:pStyle w:val="ListParagraph"/>
        <w:numPr>
          <w:ilvl w:val="0"/>
          <w:numId w:val="9"/>
        </w:numPr>
        <w:spacing w:after="40" w:before="40" w:line="280"/>
      </w:pPr>
      <w:r>
        <w:rPr>
          <w:rFonts w:ascii="Calibri" w:cs="Calibri" w:eastAsia="Calibri" w:hAnsi="Calibri"/>
          <w:color w:val="2C2C2C"/>
          <w:sz w:val="22"/>
          <w:szCs w:val="22"/>
        </w:rPr>
        <w:t xml:space="preserve">Achieve full rate production at target utilization. Target eighty percent or greater utilization on a sustained basis.</w:t>
      </w:r>
    </w:p>
    <w:p>
      <w:pPr>
        <w:pStyle w:val="ListParagraph"/>
        <w:numPr>
          <w:ilvl w:val="0"/>
          <w:numId w:val="9"/>
        </w:numPr>
        <w:spacing w:after="40" w:before="40" w:line="280"/>
      </w:pPr>
      <w:r>
        <w:rPr>
          <w:rFonts w:ascii="Calibri" w:cs="Calibri" w:eastAsia="Calibri" w:hAnsi="Calibri"/>
          <w:color w:val="2C2C2C"/>
          <w:sz w:val="22"/>
          <w:szCs w:val="22"/>
        </w:rPr>
        <w:t xml:space="preserve">Extend qualified capability to allied partner platforms through appropriate ITAR and export control channels.</w:t>
      </w:r>
    </w:p>
    <w:p>
      <w:pPr>
        <w:pStyle w:val="ListParagraph"/>
        <w:numPr>
          <w:ilvl w:val="0"/>
          <w:numId w:val="9"/>
        </w:numPr>
        <w:spacing w:after="40" w:before="40" w:line="280"/>
      </w:pPr>
      <w:r>
        <w:rPr>
          <w:rFonts w:ascii="Calibri" w:cs="Calibri" w:eastAsia="Calibri" w:hAnsi="Calibri"/>
          <w:color w:val="2C2C2C"/>
          <w:sz w:val="22"/>
          <w:szCs w:val="22"/>
        </w:rPr>
        <w:t xml:space="preserve">Expand adjacent market participation, including industrial gas turbine spares, hypersonic vehicle hot sections, and legacy aircraft sustainment, to diversify revenue and stabilize utilization.</w:t>
      </w:r>
    </w:p>
    <w:p>
      <w:pPr>
        <w:pStyle w:val="ListParagraph"/>
        <w:numPr>
          <w:ilvl w:val="0"/>
          <w:numId w:val="9"/>
        </w:numPr>
        <w:spacing w:after="40" w:before="40" w:line="280"/>
      </w:pPr>
      <w:r>
        <w:rPr>
          <w:rFonts w:ascii="Calibri" w:cs="Calibri" w:eastAsia="Calibri" w:hAnsi="Calibri"/>
          <w:color w:val="2C2C2C"/>
          <w:sz w:val="22"/>
          <w:szCs w:val="22"/>
        </w:rPr>
        <w:t xml:space="preserve">Begin planning for Phase Two facilities if not already under construction. The strategic case for two to three facilities remains intact through this period, and continued capacity expansion will likely be required to meet the full Replicator demand trajectory.</w:t>
      </w:r>
    </w:p>
    <w:p>
      <w:pPr>
        <w:pStyle w:val="ListParagraph"/>
        <w:numPr>
          <w:ilvl w:val="0"/>
          <w:numId w:val="9"/>
        </w:numPr>
        <w:spacing w:after="40" w:before="40" w:line="280"/>
      </w:pPr>
      <w:r>
        <w:rPr>
          <w:rFonts w:ascii="Calibri" w:cs="Calibri" w:eastAsia="Calibri" w:hAnsi="Calibri"/>
          <w:color w:val="2C2C2C"/>
          <w:sz w:val="22"/>
          <w:szCs w:val="22"/>
        </w:rPr>
        <w:t xml:space="preserve">Contribute to workforce development and industrial policy initiatives in coordination with the Department of Defense and the Department of Commerce to sustain long term U.S. leadership in the category.</w:t>
      </w:r>
    </w:p>
    <w:p>
      <w:pPr>
        <w:spacing w:after="160" w:before="0"/>
      </w:pPr>
      <w:r>
        <w:t xml:space="preserve"/>
      </w:r>
    </w:p>
    <w:p>
      <w:pPr>
        <w:pStyle w:val="Heading2"/>
        <w:spacing w:after="140" w:before="300" w:line="300"/>
      </w:pPr>
      <w:r>
        <w:rPr>
          <w:rFonts w:ascii="Calibri" w:cs="Calibri" w:eastAsia="Calibri" w:hAnsi="Calibri"/>
          <w:b/>
          <w:bCs/>
          <w:color w:val="1B2A4A"/>
          <w:sz w:val="28"/>
          <w:szCs w:val="28"/>
        </w:rPr>
        <w:t xml:space="preserve">13.5 Timeline Summary</w:t>
      </w:r>
    </w:p>
    <w:p>
      <w:pPr>
        <w:spacing w:after="8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4"/>
        <w:gridCol w:w="1404"/>
        <w:gridCol w:w="2808"/>
        <w:gridCol w:w="3744"/>
      </w:tblGrid>
      <w:tr>
        <w:trPr>
          <w:cantSplit/>
          <w:tblHeader/>
        </w:trPr>
        <w:tc>
          <w:tcPr>
            <w:tcW w:type="dxa" w:w="1404"/>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Phase</w:t>
            </w:r>
          </w:p>
        </w:tc>
        <w:tc>
          <w:tcPr>
            <w:tcW w:type="dxa" w:w="1404"/>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Year</w:t>
            </w:r>
          </w:p>
        </w:tc>
        <w:tc>
          <w:tcPr>
            <w:tcW w:type="dxa" w:w="2808"/>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Principal Milestone</w:t>
            </w:r>
          </w:p>
        </w:tc>
        <w:tc>
          <w:tcPr>
            <w:tcW w:type="dxa" w:w="3744"/>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Success Criterion</w:t>
            </w:r>
          </w:p>
        </w:tc>
      </w:tr>
      <w:tr>
        <w:trPr>
          <w:cantSplit/>
        </w:trPr>
        <w:tc>
          <w:tcPr>
            <w:tcW w:type="dxa" w:w="1404"/>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Phase 1</w:t>
            </w:r>
          </w:p>
        </w:tc>
        <w:tc>
          <w:tcPr>
            <w:tcW w:type="dxa" w:w="1404"/>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2026 to 2027</w:t>
            </w:r>
          </w:p>
        </w:tc>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Design and funding</w:t>
            </w:r>
          </w:p>
        </w:tc>
        <w:tc>
          <w:tcPr>
            <w:tcW w:type="dxa" w:w="3744"/>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Site selected, partnerships formalized, capital obligated, design substantially complete</w:t>
            </w:r>
          </w:p>
        </w:tc>
      </w:tr>
      <w:tr>
        <w:trPr>
          <w:cantSplit/>
        </w:trPr>
        <w:tc>
          <w:tcPr>
            <w:tcW w:type="dxa" w:w="1404"/>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Phase 2</w:t>
            </w:r>
          </w:p>
        </w:tc>
        <w:tc>
          <w:tcPr>
            <w:tcW w:type="dxa" w:w="1404"/>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2028</w:t>
            </w:r>
          </w:p>
        </w:tc>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Construction and qualification</w:t>
            </w:r>
          </w:p>
        </w:tc>
        <w:tc>
          <w:tcPr>
            <w:tcW w:type="dxa" w:w="3744"/>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Facility commissioned, first MAR-M247 prints produced, qualification program initiated</w:t>
            </w:r>
          </w:p>
        </w:tc>
      </w:tr>
      <w:tr>
        <w:trPr>
          <w:cantSplit/>
        </w:trPr>
        <w:tc>
          <w:tcPr>
            <w:tcW w:type="dxa" w:w="1404"/>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Phase 3</w:t>
            </w:r>
          </w:p>
        </w:tc>
        <w:tc>
          <w:tcPr>
            <w:tcW w:type="dxa" w:w="1404"/>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2029</w:t>
            </w:r>
          </w:p>
        </w:tc>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Initial operational capacity</w:t>
            </w:r>
          </w:p>
        </w:tc>
        <w:tc>
          <w:tcPr>
            <w:tcW w:type="dxa" w:w="3744"/>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First production blades delivered to Replicator platforms, at least 50 percent of nameplate utilization</w:t>
            </w:r>
          </w:p>
        </w:tc>
      </w:tr>
      <w:tr>
        <w:trPr>
          <w:cantSplit/>
        </w:trPr>
        <w:tc>
          <w:tcPr>
            <w:tcW w:type="dxa" w:w="1404"/>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Phase 4</w:t>
            </w:r>
          </w:p>
        </w:tc>
        <w:tc>
          <w:tcPr>
            <w:tcW w:type="dxa" w:w="1404"/>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2030</w:t>
            </w:r>
          </w:p>
        </w:tc>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Full rate production</w:t>
            </w:r>
          </w:p>
        </w:tc>
        <w:tc>
          <w:tcPr>
            <w:tcW w:type="dxa" w:w="3744"/>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Full rate achieved, U.S. leadership established, allied partner integration underway</w:t>
            </w:r>
          </w:p>
        </w:tc>
      </w:tr>
    </w:tbl>
    <w:p>
      <w:pPr>
        <w:spacing w:after="200" w:before="0"/>
      </w:pPr>
      <w: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This four phase roadmap is aggressive but not unrealistic. It mirrors the schedule of other successful specialty manufacturing buildouts of comparable capital scale, and it takes full advantage of the Replicator contracting authorities and the Defense Innovation Unit acceleration tools that the current acquisition environment provides. Achieving it requires decisive action beginning in calendar year 2026, with obligation of Phase One funding by fiscal year 2027.</w:t>
      </w:r>
    </w:p>
    <w:p>
      <w:pPr>
        <w:pageBreakBefore/>
        <w:spacing w:after="60" w:before="200"/>
      </w:pPr>
      <w:r>
        <w:rPr>
          <w:rFonts w:ascii="Calibri" w:cs="Calibri" w:eastAsia="Calibri" w:hAnsi="Calibri"/>
          <w:b/>
          <w:bCs/>
          <w:color w:val="2E5C8A"/>
          <w:sz w:val="18"/>
          <w:szCs w:val="18"/>
        </w:rPr>
        <w:t xml:space="preserve">SECTION 14</w:t>
      </w:r>
    </w:p>
    <w:p>
      <w:pPr>
        <w:pStyle w:val="Heading1"/>
        <w:spacing w:after="200" w:before="400" w:line="300"/>
      </w:pPr>
      <w:r>
        <w:rPr>
          <w:rFonts w:ascii="Calibri" w:cs="Calibri" w:eastAsia="Calibri" w:hAnsi="Calibri"/>
          <w:b/>
          <w:bCs/>
          <w:color w:val="1B2A4A"/>
          <w:sz w:val="36"/>
          <w:szCs w:val="36"/>
        </w:rPr>
        <w:t xml:space="preserve">Partnership Model and Stakeholder Map</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A facility of the scale and strategic importance described in this paper will not be built or operated by any single entity acting alone. It requires a deliberate partnership model that aligns government, industry, and research institutions around a shared objective. This section describes the stakeholder map and the specific partnership structures that are appropriate for each stakeholder class.</w:t>
      </w:r>
    </w:p>
    <w:p>
      <w:pPr>
        <w:pStyle w:val="Heading2"/>
        <w:spacing w:after="140" w:before="300" w:line="300"/>
      </w:pPr>
      <w:r>
        <w:rPr>
          <w:rFonts w:ascii="Calibri" w:cs="Calibri" w:eastAsia="Calibri" w:hAnsi="Calibri"/>
          <w:b/>
          <w:bCs/>
          <w:color w:val="1B2A4A"/>
          <w:sz w:val="28"/>
          <w:szCs w:val="28"/>
        </w:rPr>
        <w:t xml:space="preserve">14.1 Government Stakeholders</w:t>
      </w:r>
    </w:p>
    <w:p>
      <w:pPr>
        <w:pStyle w:val="Heading4"/>
        <w:spacing w:after="80" w:before="180" w:line="280"/>
      </w:pPr>
      <w:r>
        <w:rPr>
          <w:rFonts w:ascii="Calibri" w:cs="Calibri" w:eastAsia="Calibri" w:hAnsi="Calibri"/>
          <w:b/>
          <w:bCs/>
          <w:color w:val="0F1B33"/>
          <w:sz w:val="22"/>
          <w:szCs w:val="22"/>
        </w:rPr>
        <w:t xml:space="preserve">Office of the Under Secretary of Defense for Research and Engineering</w:t>
      </w:r>
    </w:p>
    <w:p>
      <w:pPr>
        <w:spacing w:after="120" w:before="60" w:line="300"/>
        <w:jc w:val="both"/>
      </w:pPr>
      <w:r>
        <w:rPr>
          <w:rFonts w:ascii="Calibri" w:cs="Calibri" w:eastAsia="Calibri" w:hAnsi="Calibri"/>
          <w:b w:val="false"/>
          <w:bCs w:val="false"/>
          <w:i w:val="false"/>
          <w:iCs w:val="false"/>
          <w:color w:val="2C2C2C"/>
          <w:sz w:val="22"/>
          <w:szCs w:val="22"/>
        </w:rPr>
        <w:t xml:space="preserve">OUSD R and E owns the policy framework for advanced manufacturing in the Department of Defense and sponsors several relevant programs including Manufacturing Technology investment and the Defense Innovation Unit. OUSD R and E is a natural sponsor for the overall facility program and a natural home for the cross agency coordination that the program will require.</w:t>
      </w:r>
    </w:p>
    <w:p>
      <w:pPr>
        <w:pStyle w:val="Heading4"/>
        <w:spacing w:after="80" w:before="180" w:line="280"/>
      </w:pPr>
      <w:r>
        <w:rPr>
          <w:rFonts w:ascii="Calibri" w:cs="Calibri" w:eastAsia="Calibri" w:hAnsi="Calibri"/>
          <w:b/>
          <w:bCs/>
          <w:color w:val="0F1B33"/>
          <w:sz w:val="22"/>
          <w:szCs w:val="22"/>
        </w:rPr>
        <w:t xml:space="preserve">Defense Innovation Unit</w:t>
      </w:r>
    </w:p>
    <w:p>
      <w:pPr>
        <w:spacing w:after="120" w:before="60" w:line="300"/>
        <w:jc w:val="both"/>
      </w:pPr>
      <w:r>
        <w:rPr>
          <w:rFonts w:ascii="Calibri" w:cs="Calibri" w:eastAsia="Calibri" w:hAnsi="Calibri"/>
          <w:b w:val="false"/>
          <w:bCs w:val="false"/>
          <w:i w:val="false"/>
          <w:iCs w:val="false"/>
          <w:color w:val="2C2C2C"/>
          <w:sz w:val="22"/>
          <w:szCs w:val="22"/>
        </w:rPr>
        <w:t xml:space="preserve">DIU is the operational contracting authority for much of Replicator. Its Other Transaction Agreement pathways and its experience with attritable system acquisition make it the likely prime contracting entity for the facility investment. A DIU lead on facility contracts, combined with military service lead on platform integration, is the standard model and should be preserved.</w:t>
      </w:r>
    </w:p>
    <w:p>
      <w:pPr>
        <w:pStyle w:val="Heading4"/>
        <w:spacing w:after="80" w:before="180" w:line="280"/>
      </w:pPr>
      <w:r>
        <w:rPr>
          <w:rFonts w:ascii="Calibri" w:cs="Calibri" w:eastAsia="Calibri" w:hAnsi="Calibri"/>
          <w:b/>
          <w:bCs/>
          <w:color w:val="0F1B33"/>
          <w:sz w:val="22"/>
          <w:szCs w:val="22"/>
        </w:rPr>
        <w:t xml:space="preserve">Military Service Components</w:t>
      </w:r>
    </w:p>
    <w:p>
      <w:pPr>
        <w:spacing w:after="120" w:before="60" w:line="300"/>
        <w:jc w:val="both"/>
      </w:pPr>
      <w:r>
        <w:rPr>
          <w:rFonts w:ascii="Calibri" w:cs="Calibri" w:eastAsia="Calibri" w:hAnsi="Calibri"/>
          <w:b w:val="false"/>
          <w:bCs w:val="false"/>
          <w:i w:val="false"/>
          <w:iCs w:val="false"/>
          <w:color w:val="2C2C2C"/>
          <w:sz w:val="22"/>
          <w:szCs w:val="22"/>
        </w:rPr>
        <w:t xml:space="preserve">The Air Force, Navy, Marine Corps, and Army each have Replicator relevant platform programs, and each has an interest in propulsion supply security. Service engagement on the facility program is essential to ensure that the facility's production priorities align with service operational requirements. The existing America Makes IMPACT program coordination with the United States Air Force Tinker Air Force Base is a useful template for this engagement.</w:t>
      </w:r>
    </w:p>
    <w:p>
      <w:pPr>
        <w:pStyle w:val="Heading4"/>
        <w:spacing w:after="80" w:before="180" w:line="280"/>
      </w:pPr>
      <w:r>
        <w:rPr>
          <w:rFonts w:ascii="Calibri" w:cs="Calibri" w:eastAsia="Calibri" w:hAnsi="Calibri"/>
          <w:b/>
          <w:bCs/>
          <w:color w:val="0F1B33"/>
          <w:sz w:val="22"/>
          <w:szCs w:val="22"/>
        </w:rPr>
        <w:t xml:space="preserve">Joint Interagency Task Force 401</w:t>
      </w:r>
    </w:p>
    <w:p>
      <w:pPr>
        <w:spacing w:after="120" w:before="60" w:line="300"/>
        <w:jc w:val="both"/>
      </w:pPr>
      <w:r>
        <w:rPr>
          <w:rFonts w:ascii="Calibri" w:cs="Calibri" w:eastAsia="Calibri" w:hAnsi="Calibri"/>
          <w:b w:val="false"/>
          <w:bCs w:val="false"/>
          <w:i w:val="false"/>
          <w:iCs w:val="false"/>
          <w:color w:val="2C2C2C"/>
          <w:sz w:val="22"/>
          <w:szCs w:val="22"/>
        </w:rPr>
        <w:t xml:space="preserve">JIATF 401 is the consolidated counter small UAS authority and is the likely primary customer for the Replicator 2 relevant portion of the facility output. Direct engagement with JIATF 401 on interceptor propulsion requirements and procurement cadence is essential to size the facility correctly for its counter small UAS mission share.</w:t>
      </w:r>
    </w:p>
    <w:p>
      <w:pPr>
        <w:pStyle w:val="Heading4"/>
        <w:spacing w:after="80" w:before="180" w:line="280"/>
      </w:pPr>
      <w:r>
        <w:rPr>
          <w:rFonts w:ascii="Calibri" w:cs="Calibri" w:eastAsia="Calibri" w:hAnsi="Calibri"/>
          <w:b/>
          <w:bCs/>
          <w:color w:val="0F1B33"/>
          <w:sz w:val="22"/>
          <w:szCs w:val="22"/>
        </w:rPr>
        <w:t xml:space="preserve">Department of Energy</w:t>
      </w:r>
    </w:p>
    <w:p>
      <w:pPr>
        <w:spacing w:after="120" w:before="60" w:line="300"/>
        <w:jc w:val="both"/>
      </w:pPr>
      <w:r>
        <w:rPr>
          <w:rFonts w:ascii="Calibri" w:cs="Calibri" w:eastAsia="Calibri" w:hAnsi="Calibri"/>
          <w:b w:val="false"/>
          <w:bCs w:val="false"/>
          <w:i w:val="false"/>
          <w:iCs w:val="false"/>
          <w:color w:val="2C2C2C"/>
          <w:sz w:val="22"/>
          <w:szCs w:val="22"/>
        </w:rPr>
        <w:t xml:space="preserve">The Department of Energy, through ARPA-E, the Office of Energy Efficiency and Renewable Energy, and Oak Ridge National Laboratory, has funded significant prior work in digital casting and process modeling. DOE is a natural partner for the process simulation, energy efficiency, and materials research dimensions of the facility program. DDM Systems already has active partnerships with Oak Ridge National Laboratory through the HPC4EI program and with GE Vernova through the ARPA-E Gas Turbines project.</w:t>
      </w:r>
    </w:p>
    <w:p>
      <w:pPr>
        <w:pStyle w:val="Heading2"/>
        <w:spacing w:after="140" w:before="300" w:line="300"/>
      </w:pPr>
      <w:r>
        <w:rPr>
          <w:rFonts w:ascii="Calibri" w:cs="Calibri" w:eastAsia="Calibri" w:hAnsi="Calibri"/>
          <w:b/>
          <w:bCs/>
          <w:color w:val="1B2A4A"/>
          <w:sz w:val="28"/>
          <w:szCs w:val="28"/>
        </w:rPr>
        <w:t xml:space="preserve">14.2 Industry Stakeholders</w:t>
      </w:r>
    </w:p>
    <w:p>
      <w:pPr>
        <w:pStyle w:val="Heading4"/>
        <w:spacing w:after="80" w:before="180" w:line="280"/>
      </w:pPr>
      <w:r>
        <w:rPr>
          <w:rFonts w:ascii="Calibri" w:cs="Calibri" w:eastAsia="Calibri" w:hAnsi="Calibri"/>
          <w:b/>
          <w:bCs/>
          <w:color w:val="0F1B33"/>
          <w:sz w:val="22"/>
          <w:szCs w:val="22"/>
        </w:rPr>
        <w:t xml:space="preserve">Engine Original Equipment Manufacturers</w:t>
      </w:r>
    </w:p>
    <w:p>
      <w:pPr>
        <w:spacing w:after="120" w:before="60" w:line="300"/>
        <w:jc w:val="both"/>
      </w:pPr>
      <w:r>
        <w:rPr>
          <w:rFonts w:ascii="Calibri" w:cs="Calibri" w:eastAsia="Calibri" w:hAnsi="Calibri"/>
          <w:b w:val="false"/>
          <w:bCs w:val="false"/>
          <w:i w:val="false"/>
          <w:iCs w:val="false"/>
          <w:color w:val="2C2C2C"/>
          <w:sz w:val="22"/>
          <w:szCs w:val="22"/>
        </w:rPr>
        <w:t xml:space="preserve">PBS Aerospace, UAV Turbines, Williams International, Kratos Turbine Technologies, and other microturbine OEMs are the direct customers for cast airfoils produced at the facility. Partnership structures should include offtake agreements, collaborative design for castability engagement, and shared investment in qualification. Early and deep engagement with at least two OEMs is necessary to anchor the facility's production portfolio.</w:t>
      </w:r>
    </w:p>
    <w:p>
      <w:pPr>
        <w:pStyle w:val="Heading4"/>
        <w:spacing w:after="80" w:before="180" w:line="280"/>
      </w:pPr>
      <w:r>
        <w:rPr>
          <w:rFonts w:ascii="Calibri" w:cs="Calibri" w:eastAsia="Calibri" w:hAnsi="Calibri"/>
          <w:b/>
          <w:bCs/>
          <w:color w:val="0F1B33"/>
          <w:sz w:val="22"/>
          <w:szCs w:val="22"/>
        </w:rPr>
        <w:t xml:space="preserve">Defense Prime Integrators</w:t>
      </w:r>
    </w:p>
    <w:p>
      <w:pPr>
        <w:spacing w:after="120" w:before="60" w:line="300"/>
        <w:jc w:val="both"/>
      </w:pPr>
      <w:r>
        <w:rPr>
          <w:rFonts w:ascii="Calibri" w:cs="Calibri" w:eastAsia="Calibri" w:hAnsi="Calibri"/>
          <w:b w:val="false"/>
          <w:bCs w:val="false"/>
          <w:i w:val="false"/>
          <w:iCs w:val="false"/>
          <w:color w:val="2C2C2C"/>
          <w:sz w:val="22"/>
          <w:szCs w:val="22"/>
        </w:rPr>
        <w:t xml:space="preserve">Anduril, AeroVironment, Kratos Defense and Security Solutions, Northrop Grumman, and other primes that are active in Replicator platform integration have an interest in reliable propulsion supply for their platforms. Partnership structures should include platform level requirements flow down, joint qualification activities where appropriate, and coordination on schedule and pricing.</w:t>
      </w:r>
    </w:p>
    <w:p>
      <w:pPr>
        <w:pStyle w:val="Heading4"/>
        <w:spacing w:after="80" w:before="180" w:line="280"/>
      </w:pPr>
      <w:r>
        <w:rPr>
          <w:rFonts w:ascii="Calibri" w:cs="Calibri" w:eastAsia="Calibri" w:hAnsi="Calibri"/>
          <w:b/>
          <w:bCs/>
          <w:color w:val="0F1B33"/>
          <w:sz w:val="22"/>
          <w:szCs w:val="22"/>
        </w:rPr>
        <w:t xml:space="preserve">Commercial Foundry Partners</w:t>
      </w:r>
    </w:p>
    <w:p>
      <w:pPr>
        <w:spacing w:after="120" w:before="60" w:line="300"/>
        <w:jc w:val="both"/>
      </w:pPr>
      <w:r>
        <w:rPr>
          <w:rFonts w:ascii="Calibri" w:cs="Calibri" w:eastAsia="Calibri" w:hAnsi="Calibri"/>
          <w:b w:val="false"/>
          <w:bCs w:val="false"/>
          <w:i w:val="false"/>
          <w:iCs w:val="false"/>
          <w:color w:val="2C2C2C"/>
          <w:sz w:val="22"/>
          <w:szCs w:val="22"/>
        </w:rPr>
        <w:t xml:space="preserve">Established commercial investment casting operations have the foundry expertise that any new facility will rely on. Partnership structures should include technical collaboration, shared personnel development, and, where appropriate, co-located or integrated operations. DDM Systems maintains working relationships with a range of qualified foundry operators in the United States, Canada, India, and the United Kingdom, including Metaltek, Techcastings, Shellcast, DP Cast, Amtech Technocast, Pahwa Metal Tech, and the Eaton Aerospace foundry operation in the UK. These relationships provide a flexible pool of pour capacity that can support ramp of a Replicator-aligned facility while its own foundry operations are commissioned.</w:t>
      </w:r>
    </w:p>
    <w:p>
      <w:pPr>
        <w:pStyle w:val="Heading4"/>
        <w:spacing w:after="80" w:before="180" w:line="280"/>
      </w:pPr>
      <w:r>
        <w:rPr>
          <w:rFonts w:ascii="Calibri" w:cs="Calibri" w:eastAsia="Calibri" w:hAnsi="Calibri"/>
          <w:b/>
          <w:bCs/>
          <w:color w:val="0F1B33"/>
          <w:sz w:val="22"/>
          <w:szCs w:val="22"/>
        </w:rPr>
        <w:t xml:space="preserve">Specialty Suppliers</w:t>
      </w:r>
    </w:p>
    <w:p>
      <w:pPr>
        <w:spacing w:after="120" w:before="60" w:line="300"/>
        <w:jc w:val="both"/>
      </w:pPr>
      <w:r>
        <w:rPr>
          <w:rFonts w:ascii="Calibri" w:cs="Calibri" w:eastAsia="Calibri" w:hAnsi="Calibri"/>
          <w:b w:val="false"/>
          <w:bCs w:val="false"/>
          <w:i w:val="false"/>
          <w:iCs w:val="false"/>
          <w:color w:val="2C2C2C"/>
          <w:sz w:val="22"/>
          <w:szCs w:val="22"/>
        </w:rPr>
        <w:t xml:space="preserve">Suppliers of photopolymer ceramic slurry feedstock, vacuum induction melted nickel superalloy ingot, hot isostatic pressing capacity, and specialty heat treatment services are all essential to the facility's supply chain. Partnership structures should include long term offtake commitments, co investment in capacity expansion where needed, and technical collaboration on feedstock qualification.</w:t>
      </w:r>
    </w:p>
    <w:p>
      <w:pPr>
        <w:pStyle w:val="Heading2"/>
        <w:spacing w:after="140" w:before="300" w:line="300"/>
      </w:pPr>
      <w:r>
        <w:rPr>
          <w:rFonts w:ascii="Calibri" w:cs="Calibri" w:eastAsia="Calibri" w:hAnsi="Calibri"/>
          <w:b/>
          <w:bCs/>
          <w:color w:val="1B2A4A"/>
          <w:sz w:val="28"/>
          <w:szCs w:val="28"/>
        </w:rPr>
        <w:t xml:space="preserve">14.3 Research and Academic Stakeholders</w:t>
      </w:r>
    </w:p>
    <w:p>
      <w:pPr>
        <w:pStyle w:val="Heading4"/>
        <w:spacing w:after="80" w:before="180" w:line="280"/>
      </w:pPr>
      <w:r>
        <w:rPr>
          <w:rFonts w:ascii="Calibri" w:cs="Calibri" w:eastAsia="Calibri" w:hAnsi="Calibri"/>
          <w:b/>
          <w:bCs/>
          <w:color w:val="0F1B33"/>
          <w:sz w:val="22"/>
          <w:szCs w:val="22"/>
        </w:rPr>
        <w:t xml:space="preserve">Georgia Institute of Technology</w:t>
      </w:r>
    </w:p>
    <w:p>
      <w:pPr>
        <w:spacing w:after="120" w:before="60" w:line="300"/>
        <w:jc w:val="both"/>
      </w:pPr>
      <w:r>
        <w:rPr>
          <w:rFonts w:ascii="Calibri" w:cs="Calibri" w:eastAsia="Calibri" w:hAnsi="Calibri"/>
          <w:b w:val="false"/>
          <w:bCs w:val="false"/>
          <w:i w:val="false"/>
          <w:iCs w:val="false"/>
          <w:color w:val="2C2C2C"/>
          <w:sz w:val="22"/>
          <w:szCs w:val="22"/>
        </w:rPr>
        <w:t xml:space="preserve">Georgia Tech is the origin institution for LAMP™ technology and a continuing partner for DDM Systems. Partnership structures should include research collaboration, workforce pipeline, and joint engagement with federal research sponsors. Georgia Tech's Direct Digital Manufacturing Laboratory remains a strategic asset for the broader digital casting field.</w:t>
      </w:r>
    </w:p>
    <w:p>
      <w:pPr>
        <w:pStyle w:val="Heading4"/>
        <w:spacing w:after="80" w:before="180" w:line="280"/>
      </w:pPr>
      <w:r>
        <w:rPr>
          <w:rFonts w:ascii="Calibri" w:cs="Calibri" w:eastAsia="Calibri" w:hAnsi="Calibri"/>
          <w:b/>
          <w:bCs/>
          <w:color w:val="0F1B33"/>
          <w:sz w:val="22"/>
          <w:szCs w:val="22"/>
        </w:rPr>
        <w:t xml:space="preserve">Oak Ridge National Laboratory</w:t>
      </w:r>
    </w:p>
    <w:p>
      <w:pPr>
        <w:spacing w:after="120" w:before="60" w:line="300"/>
        <w:jc w:val="both"/>
      </w:pPr>
      <w:r>
        <w:rPr>
          <w:rFonts w:ascii="Calibri" w:cs="Calibri" w:eastAsia="Calibri" w:hAnsi="Calibri"/>
          <w:b w:val="false"/>
          <w:bCs w:val="false"/>
          <w:i w:val="false"/>
          <w:iCs w:val="false"/>
          <w:color w:val="2C2C2C"/>
          <w:sz w:val="22"/>
          <w:szCs w:val="22"/>
        </w:rPr>
        <w:t xml:space="preserve">ORNL is a continuing partner through the HPC4EI program. Its high-performance computing resources, advanced characterization capabilities, and expertise in process modeling are directly relevant to the facility's optimization and qualification efforts. Partnership structures should include continued collaborative research and potential assignment of ORNL personnel to the facility qualification effort.</w:t>
      </w:r>
    </w:p>
    <w:p>
      <w:pPr>
        <w:pStyle w:val="Heading4"/>
        <w:spacing w:after="80" w:before="180" w:line="280"/>
      </w:pPr>
      <w:r>
        <w:rPr>
          <w:rFonts w:ascii="Calibri" w:cs="Calibri" w:eastAsia="Calibri" w:hAnsi="Calibri"/>
          <w:b/>
          <w:bCs/>
          <w:color w:val="0F1B33"/>
          <w:sz w:val="22"/>
          <w:szCs w:val="22"/>
        </w:rPr>
        <w:t xml:space="preserve">Other Universities and Research Institutions</w:t>
      </w:r>
    </w:p>
    <w:p>
      <w:pPr>
        <w:spacing w:after="120" w:before="60" w:line="300"/>
        <w:jc w:val="both"/>
      </w:pPr>
      <w:r>
        <w:rPr>
          <w:rFonts w:ascii="Calibri" w:cs="Calibri" w:eastAsia="Calibri" w:hAnsi="Calibri"/>
          <w:b w:val="false"/>
          <w:bCs w:val="false"/>
          <w:i w:val="false"/>
          <w:iCs w:val="false"/>
          <w:color w:val="2C2C2C"/>
          <w:sz w:val="22"/>
          <w:szCs w:val="22"/>
        </w:rPr>
        <w:t xml:space="preserve">Additional academic and research partnerships should be cultivated to support workforce development and ongoing research. Priority institutions include those with strong mechanical engineering, materials science, and advanced manufacturing programs, and those located near the selected facility sites.</w:t>
      </w:r>
    </w:p>
    <w:p>
      <w:pPr>
        <w:pStyle w:val="Heading2"/>
        <w:spacing w:after="140" w:before="300" w:line="300"/>
      </w:pPr>
      <w:r>
        <w:rPr>
          <w:rFonts w:ascii="Calibri" w:cs="Calibri" w:eastAsia="Calibri" w:hAnsi="Calibri"/>
          <w:b/>
          <w:bCs/>
          <w:color w:val="1B2A4A"/>
          <w:sz w:val="28"/>
          <w:szCs w:val="28"/>
        </w:rPr>
        <w:t xml:space="preserve">14.4 Investor and Capital Stakeholders</w:t>
      </w:r>
    </w:p>
    <w:p>
      <w:pPr>
        <w:spacing w:after="120" w:before="60" w:line="300"/>
        <w:jc w:val="both"/>
      </w:pPr>
      <w:r>
        <w:rPr>
          <w:rFonts w:ascii="Calibri" w:cs="Calibri" w:eastAsia="Calibri" w:hAnsi="Calibri"/>
          <w:b w:val="false"/>
          <w:bCs w:val="false"/>
          <w:i w:val="false"/>
          <w:iCs w:val="false"/>
          <w:color w:val="2C2C2C"/>
          <w:sz w:val="22"/>
          <w:szCs w:val="22"/>
        </w:rPr>
        <w:t xml:space="preserve">The facility program requires a capital stack that combines federal investment, state and local incentives, and private investment. Federal investment, through Defense Production Act Title III, Defense Innovation Unit Other Transaction Agreements, or similar authorities, provides anchor capital and reduces the private investor's risk profile. State and local incentives, including site preparation, workforce training subsidies, and tax credits, reduce the total capital requirement. Private investment, whether strategic from engine OEMs and primes or financial from defense focused private equity, completes the capital stack.</w:t>
      </w:r>
    </w:p>
    <w:p>
      <w:pPr>
        <w:spacing w:after="120" w:before="60" w:line="300"/>
        <w:jc w:val="both"/>
      </w:pPr>
      <w:r>
        <w:rPr>
          <w:rFonts w:ascii="Calibri" w:cs="Calibri" w:eastAsia="Calibri" w:hAnsi="Calibri"/>
          <w:b w:val="false"/>
          <w:bCs w:val="false"/>
          <w:i w:val="false"/>
          <w:iCs w:val="false"/>
          <w:color w:val="2C2C2C"/>
          <w:sz w:val="22"/>
          <w:szCs w:val="22"/>
        </w:rPr>
        <w:t xml:space="preserve">The specific capital stack mix will vary by facility and by site. A typical target might be fifty to sixty percent federal investment, ten to fifteen percent state and local incentives, and the balance private. This mix can be adjusted based on the specific risk profile of each facility and the appetite of the relevant stakeholders.</w:t>
      </w:r>
    </w:p>
    <w:p>
      <w:pPr>
        <w:spacing w:after="160" w:before="0"/>
      </w:pPr>
      <w:r>
        <w:t xml:space="preserve"/>
      </w:r>
    </w:p>
    <w:p>
      <w:pPr>
        <w:pStyle w:val="Heading2"/>
        <w:spacing w:after="140" w:before="300" w:line="300"/>
      </w:pPr>
      <w:r>
        <w:rPr>
          <w:rFonts w:ascii="Calibri" w:cs="Calibri" w:eastAsia="Calibri" w:hAnsi="Calibri"/>
          <w:b/>
          <w:bCs/>
          <w:color w:val="1B2A4A"/>
          <w:sz w:val="28"/>
          <w:szCs w:val="28"/>
        </w:rPr>
        <w:t xml:space="preserve">14.5 Governance Model</w:t>
      </w:r>
    </w:p>
    <w:p>
      <w:pPr>
        <w:spacing w:after="120" w:before="60" w:line="300"/>
        <w:jc w:val="both"/>
      </w:pPr>
      <w:r>
        <w:rPr>
          <w:rFonts w:ascii="Calibri" w:cs="Calibri" w:eastAsia="Calibri" w:hAnsi="Calibri"/>
          <w:b w:val="false"/>
          <w:bCs w:val="false"/>
          <w:i w:val="false"/>
          <w:iCs w:val="false"/>
          <w:color w:val="2C2C2C"/>
          <w:sz w:val="22"/>
          <w:szCs w:val="22"/>
        </w:rPr>
        <w:t xml:space="preserve">The facility governance model should establish clear accountability for operational performance, quality, and security while preserving the technical and commercial flexibility that a manufacturing operation requires. A typical structure includes a prime operating entity, which could be DDM Systems or a joint venture with strategic partners, accountable for day to day operations, and an oversight board with government, engine OEM, and investor representation providing strategic direction and milestone review.</w:t>
      </w:r>
    </w:p>
    <w:p>
      <w:pPr>
        <w:spacing w:after="120" w:before="60" w:line="300"/>
        <w:jc w:val="both"/>
      </w:pPr>
      <w:r>
        <w:rPr>
          <w:rFonts w:ascii="Calibri" w:cs="Calibri" w:eastAsia="Calibri" w:hAnsi="Calibri"/>
          <w:b w:val="false"/>
          <w:bCs w:val="false"/>
          <w:i w:val="false"/>
          <w:iCs w:val="false"/>
          <w:color w:val="2C2C2C"/>
          <w:sz w:val="22"/>
          <w:szCs w:val="22"/>
        </w:rPr>
        <w:t xml:space="preserve">The specific governance structure will be negotiated as part of the partnership formalization process in Phase One. Key governance questions that must be resolved at that stage include intellectual property treatment, data rights, security and export control roles, and exit provisions for each stakeholder class. These questions are tractable but require deliberate attention during facility program design.</w:t>
      </w:r>
    </w:p>
    <w:p>
      <w:pPr>
        <w:pageBreakBefore/>
        <w:spacing w:after="60" w:before="200"/>
      </w:pPr>
      <w:r>
        <w:rPr>
          <w:rFonts w:ascii="Calibri" w:cs="Calibri" w:eastAsia="Calibri" w:hAnsi="Calibri"/>
          <w:b/>
          <w:bCs/>
          <w:color w:val="2E5C8A"/>
          <w:sz w:val="18"/>
          <w:szCs w:val="18"/>
        </w:rPr>
        <w:t xml:space="preserve">SECTION 15</w:t>
      </w:r>
    </w:p>
    <w:p>
      <w:pPr>
        <w:pStyle w:val="Heading1"/>
        <w:spacing w:after="200" w:before="400" w:line="300"/>
      </w:pPr>
      <w:r>
        <w:rPr>
          <w:rFonts w:ascii="Calibri" w:cs="Calibri" w:eastAsia="Calibri" w:hAnsi="Calibri"/>
          <w:b/>
          <w:bCs/>
          <w:color w:val="1B2A4A"/>
          <w:sz w:val="36"/>
          <w:szCs w:val="36"/>
        </w:rPr>
        <w:t xml:space="preserve">Risk Management</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The preceding sections have described the opportunity, the technology, and the path forward. This section turns to the risks that could undermine the program and the mitigation strategies that are available for each. The purpose is not to exhaustively catalog every conceivable risk but to ensure that the principal risks are identified, owned, and actively managed through the program lifecycle.</w:t>
      </w:r>
    </w:p>
    <w:p>
      <w:pPr>
        <w:pStyle w:val="Heading2"/>
        <w:spacing w:after="140" w:before="300" w:line="300"/>
      </w:pPr>
      <w:r>
        <w:rPr>
          <w:rFonts w:ascii="Calibri" w:cs="Calibri" w:eastAsia="Calibri" w:hAnsi="Calibri"/>
          <w:b/>
          <w:bCs/>
          <w:color w:val="1B2A4A"/>
          <w:sz w:val="28"/>
          <w:szCs w:val="28"/>
        </w:rPr>
        <w:t xml:space="preserve">15.1 Programmatic Risks</w:t>
      </w:r>
    </w:p>
    <w:p>
      <w:pPr>
        <w:pStyle w:val="Heading4"/>
        <w:spacing w:after="80" w:before="180" w:line="280"/>
      </w:pPr>
      <w:r>
        <w:rPr>
          <w:rFonts w:ascii="Calibri" w:cs="Calibri" w:eastAsia="Calibri" w:hAnsi="Calibri"/>
          <w:b/>
          <w:bCs/>
          <w:color w:val="0F1B33"/>
          <w:sz w:val="22"/>
          <w:szCs w:val="22"/>
        </w:rPr>
        <w:t xml:space="preserve">Replicator Demand Volume Variance</w:t>
      </w:r>
    </w:p>
    <w:p>
      <w:pPr>
        <w:spacing w:after="120" w:before="60" w:line="300"/>
        <w:jc w:val="both"/>
      </w:pPr>
      <w:r>
        <w:rPr>
          <w:rFonts w:ascii="Calibri" w:cs="Calibri" w:eastAsia="Calibri" w:hAnsi="Calibri"/>
          <w:b w:val="false"/>
          <w:bCs w:val="false"/>
          <w:i w:val="false"/>
          <w:iCs w:val="false"/>
          <w:color w:val="2C2C2C"/>
          <w:sz w:val="22"/>
          <w:szCs w:val="22"/>
        </w:rPr>
        <w:t xml:space="preserve">The Replicator procurement cadence depends on political, budgetary, and operational variables that could shift. A change in administration priorities, a budget action, or an operational reassessment could reduce the volume of attritable systems actually fielded relative to current expectations. The facility program must be resilient to this risk.</w:t>
      </w:r>
    </w:p>
    <w:p>
      <w:pPr>
        <w:spacing w:after="120" w:before="60" w:line="300"/>
        <w:jc w:val="both"/>
      </w:pPr>
      <w:r>
        <w:rPr>
          <w:rFonts w:ascii="Calibri" w:cs="Calibri" w:eastAsia="Calibri" w:hAnsi="Calibri"/>
          <w:b w:val="false"/>
          <w:bCs w:val="false"/>
          <w:i w:val="false"/>
          <w:iCs w:val="false"/>
          <w:color w:val="2C2C2C"/>
          <w:sz w:val="22"/>
          <w:szCs w:val="22"/>
        </w:rPr>
        <w:t xml:space="preserve">Mitigation. Diversify the facility's product portfolio to include adjacent markets such as industrial gas turbine spares, legacy aircraft sustainment, hypersonic hot sections, and allied partner demand. Structure Replicator contract commitments to include minimum volume guarantees where possible, and design the facility with flexibility to shift product mix between attritable and exquisite aerospace end markets.</w:t>
      </w:r>
    </w:p>
    <w:p>
      <w:pPr>
        <w:pStyle w:val="Heading4"/>
        <w:spacing w:after="80" w:before="180" w:line="280"/>
      </w:pPr>
      <w:r>
        <w:rPr>
          <w:rFonts w:ascii="Calibri" w:cs="Calibri" w:eastAsia="Calibri" w:hAnsi="Calibri"/>
          <w:b/>
          <w:bCs/>
          <w:color w:val="0F1B33"/>
          <w:sz w:val="22"/>
          <w:szCs w:val="22"/>
        </w:rPr>
        <w:t xml:space="preserve">Qualification Timeline Slip</w:t>
      </w:r>
    </w:p>
    <w:p>
      <w:pPr>
        <w:spacing w:after="120" w:before="60" w:line="300"/>
        <w:jc w:val="both"/>
      </w:pPr>
      <w:r>
        <w:rPr>
          <w:rFonts w:ascii="Calibri" w:cs="Calibri" w:eastAsia="Calibri" w:hAnsi="Calibri"/>
          <w:b w:val="false"/>
          <w:bCs w:val="false"/>
          <w:i w:val="false"/>
          <w:iCs w:val="false"/>
          <w:color w:val="2C2C2C"/>
          <w:sz w:val="22"/>
          <w:szCs w:val="22"/>
        </w:rPr>
        <w:t xml:space="preserve">Even with the relaxed attritable qualification pathway, first article qualification for a new blade design in a new facility is a complex, multi party activity that can slip. A qualification slip in Phase Two or early Phase Three would delay initial production and revenue.</w:t>
      </w:r>
    </w:p>
    <w:p>
      <w:pPr>
        <w:spacing w:after="120" w:before="60" w:line="300"/>
        <w:jc w:val="both"/>
      </w:pPr>
      <w:r>
        <w:rPr>
          <w:rFonts w:ascii="Calibri" w:cs="Calibri" w:eastAsia="Calibri" w:hAnsi="Calibri"/>
          <w:b w:val="false"/>
          <w:bCs w:val="false"/>
          <w:i w:val="false"/>
          <w:iCs w:val="false"/>
          <w:color w:val="2C2C2C"/>
          <w:sz w:val="22"/>
          <w:szCs w:val="22"/>
        </w:rPr>
        <w:t xml:space="preserve">Mitigation. Begin qualification planning in Phase One before construction is complete. Work with the Defense Innovation Unit and engine OEM partners to define qualification criteria early. Schedule qualification activities with realistic buffers and parallel tracks where feasible.</w:t>
      </w:r>
    </w:p>
    <w:p>
      <w:pPr>
        <w:pStyle w:val="Heading4"/>
        <w:spacing w:after="80" w:before="180" w:line="280"/>
      </w:pPr>
      <w:r>
        <w:rPr>
          <w:rFonts w:ascii="Calibri" w:cs="Calibri" w:eastAsia="Calibri" w:hAnsi="Calibri"/>
          <w:b/>
          <w:bCs/>
          <w:color w:val="0F1B33"/>
          <w:sz w:val="22"/>
          <w:szCs w:val="22"/>
        </w:rPr>
        <w:t xml:space="preserve">Partnership Friction</w:t>
      </w:r>
    </w:p>
    <w:p>
      <w:pPr>
        <w:spacing w:after="120" w:before="60" w:line="300"/>
        <w:jc w:val="both"/>
      </w:pPr>
      <w:r>
        <w:rPr>
          <w:rFonts w:ascii="Calibri" w:cs="Calibri" w:eastAsia="Calibri" w:hAnsi="Calibri"/>
          <w:b w:val="false"/>
          <w:bCs w:val="false"/>
          <w:i w:val="false"/>
          <w:iCs w:val="false"/>
          <w:color w:val="2C2C2C"/>
          <w:sz w:val="22"/>
          <w:szCs w:val="22"/>
        </w:rPr>
        <w:t xml:space="preserve">The program depends on deep partnerships with engine OEMs, defense primes, foundry specialists, and government stakeholders. Partnership friction, whether over intellectual property, pricing, priority allocation, or governance, could disrupt execution at any phase.</w:t>
      </w:r>
    </w:p>
    <w:p>
      <w:pPr>
        <w:spacing w:after="120" w:before="60" w:line="300"/>
        <w:jc w:val="both"/>
      </w:pPr>
      <w:r>
        <w:rPr>
          <w:rFonts w:ascii="Calibri" w:cs="Calibri" w:eastAsia="Calibri" w:hAnsi="Calibri"/>
          <w:b w:val="false"/>
          <w:bCs w:val="false"/>
          <w:i w:val="false"/>
          <w:iCs w:val="false"/>
          <w:color w:val="2C2C2C"/>
          <w:sz w:val="22"/>
          <w:szCs w:val="22"/>
        </w:rPr>
        <w:t xml:space="preserve">Mitigation. Negotiate clear partnership terms during Phase One, before capital is committed. Establish escalation paths and governance forums that can resolve disputes promptly. Maintain multiple partnerships in each stakeholder class to preserve flexibility if any single partnership encounters trouble.</w:t>
      </w:r>
    </w:p>
    <w:p>
      <w:pPr>
        <w:pStyle w:val="Heading2"/>
        <w:spacing w:after="140" w:before="300" w:line="300"/>
      </w:pPr>
      <w:r>
        <w:rPr>
          <w:rFonts w:ascii="Calibri" w:cs="Calibri" w:eastAsia="Calibri" w:hAnsi="Calibri"/>
          <w:b/>
          <w:bCs/>
          <w:color w:val="1B2A4A"/>
          <w:sz w:val="28"/>
          <w:szCs w:val="28"/>
        </w:rPr>
        <w:t xml:space="preserve">15.2 Technical Risks</w:t>
      </w:r>
    </w:p>
    <w:p>
      <w:pPr>
        <w:pStyle w:val="Heading4"/>
        <w:spacing w:after="80" w:before="180" w:line="280"/>
      </w:pPr>
      <w:r>
        <w:rPr>
          <w:rFonts w:ascii="Calibri" w:cs="Calibri" w:eastAsia="Calibri" w:hAnsi="Calibri"/>
          <w:b/>
          <w:bCs/>
          <w:color w:val="0F1B33"/>
          <w:sz w:val="22"/>
          <w:szCs w:val="22"/>
        </w:rPr>
        <w:t xml:space="preserve">Yield and Throughput at Scale</w:t>
      </w:r>
    </w:p>
    <w:p>
      <w:pPr>
        <w:spacing w:after="120" w:before="60" w:line="300"/>
        <w:jc w:val="both"/>
      </w:pPr>
      <w:r>
        <w:rPr>
          <w:rFonts w:ascii="Calibri" w:cs="Calibri" w:eastAsia="Calibri" w:hAnsi="Calibri"/>
          <w:b w:val="false"/>
          <w:bCs w:val="false"/>
          <w:i w:val="false"/>
          <w:iCs w:val="false"/>
          <w:color w:val="2C2C2C"/>
          <w:sz w:val="22"/>
          <w:szCs w:val="22"/>
        </w:rPr>
        <w:t xml:space="preserve">Digital investment casting has demonstrated strong yield and throughput at current operational scale, but the Replicator volume implies an order of magnitude expansion. Yield and throughput risks at scale are real and must be managed actively.</w:t>
      </w:r>
    </w:p>
    <w:p>
      <w:pPr>
        <w:spacing w:after="120" w:before="60" w:line="300"/>
        <w:jc w:val="both"/>
      </w:pPr>
      <w:r>
        <w:rPr>
          <w:rFonts w:ascii="Calibri" w:cs="Calibri" w:eastAsia="Calibri" w:hAnsi="Calibri"/>
          <w:b w:val="false"/>
          <w:bCs w:val="false"/>
          <w:i w:val="false"/>
          <w:iCs w:val="false"/>
          <w:color w:val="2C2C2C"/>
          <w:sz w:val="22"/>
          <w:szCs w:val="22"/>
        </w:rPr>
        <w:t xml:space="preserve">Mitigation. Design the facility with multiple parallel production lines rather than a single high throughput line, so that yield data can be validated in pilot lines before full scale commitment. Invest in statistical process control infrastructure from day one. Plan for a yield learning curve and schedule the qualification program to accommodate it.</w:t>
      </w:r>
    </w:p>
    <w:p>
      <w:pPr>
        <w:pStyle w:val="Heading4"/>
        <w:spacing w:after="80" w:before="180" w:line="280"/>
      </w:pPr>
      <w:r>
        <w:rPr>
          <w:rFonts w:ascii="Calibri" w:cs="Calibri" w:eastAsia="Calibri" w:hAnsi="Calibri"/>
          <w:b/>
          <w:bCs/>
          <w:color w:val="0F1B33"/>
          <w:sz w:val="22"/>
          <w:szCs w:val="22"/>
        </w:rPr>
        <w:t xml:space="preserve">Ceramic Shell Feedstock Consistency</w:t>
      </w:r>
    </w:p>
    <w:p>
      <w:pPr>
        <w:spacing w:after="120" w:before="60" w:line="300"/>
        <w:jc w:val="both"/>
      </w:pPr>
      <w:r>
        <w:rPr>
          <w:rFonts w:ascii="Calibri" w:cs="Calibri" w:eastAsia="Calibri" w:hAnsi="Calibri"/>
          <w:b w:val="false"/>
          <w:bCs w:val="false"/>
          <w:i w:val="false"/>
          <w:iCs w:val="false"/>
          <w:color w:val="2C2C2C"/>
          <w:sz w:val="22"/>
          <w:szCs w:val="22"/>
        </w:rPr>
        <w:t xml:space="preserve">The photopolymer ceramic slurry feedstock is a critical input and must be produced to tight quality specifications. A feedstock variability event at full rate production could cause yield losses across the affected batch.</w:t>
      </w:r>
    </w:p>
    <w:p>
      <w:pPr>
        <w:spacing w:after="120" w:before="60" w:line="300"/>
        <w:jc w:val="both"/>
      </w:pPr>
      <w:r>
        <w:rPr>
          <w:rFonts w:ascii="Calibri" w:cs="Calibri" w:eastAsia="Calibri" w:hAnsi="Calibri"/>
          <w:b w:val="false"/>
          <w:bCs w:val="false"/>
          <w:i w:val="false"/>
          <w:iCs w:val="false"/>
          <w:color w:val="2C2C2C"/>
          <w:sz w:val="22"/>
          <w:szCs w:val="22"/>
        </w:rPr>
        <w:t xml:space="preserve">Mitigation. Qualify at least two feedstock suppliers. Maintain an onsite quality laboratory capable of verifying incoming feedstock against specification. Hold buffer inventory of qualified feedstock to bridge any supplier interruption.</w:t>
      </w:r>
    </w:p>
    <w:p>
      <w:pPr>
        <w:pStyle w:val="Heading4"/>
        <w:spacing w:after="80" w:before="180" w:line="280"/>
      </w:pPr>
      <w:r>
        <w:rPr>
          <w:rFonts w:ascii="Calibri" w:cs="Calibri" w:eastAsia="Calibri" w:hAnsi="Calibri"/>
          <w:b/>
          <w:bCs/>
          <w:color w:val="0F1B33"/>
          <w:sz w:val="22"/>
          <w:szCs w:val="22"/>
        </w:rPr>
        <w:t xml:space="preserve">Foundry Operation Integration</w:t>
      </w:r>
    </w:p>
    <w:p>
      <w:pPr>
        <w:spacing w:after="120" w:before="60" w:line="300"/>
        <w:jc w:val="both"/>
      </w:pPr>
      <w:r>
        <w:rPr>
          <w:rFonts w:ascii="Calibri" w:cs="Calibri" w:eastAsia="Calibri" w:hAnsi="Calibri"/>
          <w:b w:val="false"/>
          <w:bCs w:val="false"/>
          <w:i w:val="false"/>
          <w:iCs w:val="false"/>
          <w:color w:val="2C2C2C"/>
          <w:sz w:val="22"/>
          <w:szCs w:val="22"/>
        </w:rPr>
        <w:t xml:space="preserve">The success of the facility depends on integrating digital shell production with conventional foundry operations. Failure modes in pour, solidification, or post-processing can negate the advantages of the digital shell.</w:t>
      </w:r>
    </w:p>
    <w:p>
      <w:pPr>
        <w:spacing w:after="120" w:before="60" w:line="300"/>
        <w:jc w:val="both"/>
      </w:pPr>
      <w:r>
        <w:rPr>
          <w:rFonts w:ascii="Calibri" w:cs="Calibri" w:eastAsia="Calibri" w:hAnsi="Calibri"/>
          <w:b w:val="false"/>
          <w:bCs w:val="false"/>
          <w:i w:val="false"/>
          <w:iCs w:val="false"/>
          <w:color w:val="2C2C2C"/>
          <w:sz w:val="22"/>
          <w:szCs w:val="22"/>
        </w:rPr>
        <w:t xml:space="preserve">Mitigation. Partner with established foundry operations during the initial ramp. Recruit experienced foundry personnel into the facility staff. Instrument the pour and solidification process at high fidelity so that the digital process control paradigm extends beyond the shell into the foundry.</w:t>
      </w:r>
    </w:p>
    <w:p>
      <w:pPr>
        <w:pStyle w:val="Heading2"/>
        <w:spacing w:after="140" w:before="300" w:line="300"/>
      </w:pPr>
      <w:r>
        <w:rPr>
          <w:rFonts w:ascii="Calibri" w:cs="Calibri" w:eastAsia="Calibri" w:hAnsi="Calibri"/>
          <w:b/>
          <w:bCs/>
          <w:color w:val="1B2A4A"/>
          <w:sz w:val="28"/>
          <w:szCs w:val="28"/>
        </w:rPr>
        <w:t xml:space="preserve">15.3 Supply Chain Risks</w:t>
      </w:r>
    </w:p>
    <w:p>
      <w:pPr>
        <w:pStyle w:val="Heading4"/>
        <w:spacing w:after="80" w:before="180" w:line="280"/>
      </w:pPr>
      <w:r>
        <w:rPr>
          <w:rFonts w:ascii="Calibri" w:cs="Calibri" w:eastAsia="Calibri" w:hAnsi="Calibri"/>
          <w:b/>
          <w:bCs/>
          <w:color w:val="0F1B33"/>
          <w:sz w:val="22"/>
          <w:szCs w:val="22"/>
        </w:rPr>
        <w:t xml:space="preserve">Nickel Superalloy Ingot Supply</w:t>
      </w:r>
    </w:p>
    <w:p>
      <w:pPr>
        <w:spacing w:after="120" w:before="60" w:line="300"/>
        <w:jc w:val="both"/>
      </w:pPr>
      <w:r>
        <w:rPr>
          <w:rFonts w:ascii="Calibri" w:cs="Calibri" w:eastAsia="Calibri" w:hAnsi="Calibri"/>
          <w:b w:val="false"/>
          <w:bCs w:val="false"/>
          <w:i w:val="false"/>
          <w:iCs w:val="false"/>
          <w:color w:val="2C2C2C"/>
          <w:sz w:val="22"/>
          <w:szCs w:val="22"/>
        </w:rPr>
        <w:t xml:space="preserve">Vacuum induction melted nickel superalloy ingot is produced by a short list of suppliers, several of whom are at or near capacity. An ingot supply interruption would directly affect facility output.</w:t>
      </w:r>
    </w:p>
    <w:p>
      <w:pPr>
        <w:spacing w:after="120" w:before="60" w:line="300"/>
        <w:jc w:val="both"/>
      </w:pPr>
      <w:r>
        <w:rPr>
          <w:rFonts w:ascii="Calibri" w:cs="Calibri" w:eastAsia="Calibri" w:hAnsi="Calibri"/>
          <w:b w:val="false"/>
          <w:bCs w:val="false"/>
          <w:i w:val="false"/>
          <w:iCs w:val="false"/>
          <w:color w:val="2C2C2C"/>
          <w:sz w:val="22"/>
          <w:szCs w:val="22"/>
        </w:rPr>
        <w:t xml:space="preserve">Mitigation. Qualify multiple ingot suppliers. Maintain a buffer inventory of qualified ingot. Work with federal partners to address industrial base gaps in ingot production, leveraging Defense Production Act authorities if necessary.</w:t>
      </w:r>
    </w:p>
    <w:p>
      <w:pPr>
        <w:pStyle w:val="Heading4"/>
        <w:spacing w:after="80" w:before="180" w:line="280"/>
      </w:pPr>
      <w:r>
        <w:rPr>
          <w:rFonts w:ascii="Calibri" w:cs="Calibri" w:eastAsia="Calibri" w:hAnsi="Calibri"/>
          <w:b/>
          <w:bCs/>
          <w:color w:val="0F1B33"/>
          <w:sz w:val="22"/>
          <w:szCs w:val="22"/>
        </w:rPr>
        <w:t xml:space="preserve">Hot Isostatic Pressing Capacity</w:t>
      </w:r>
    </w:p>
    <w:p>
      <w:pPr>
        <w:spacing w:after="120" w:before="60" w:line="300"/>
        <w:jc w:val="both"/>
      </w:pPr>
      <w:r>
        <w:rPr>
          <w:rFonts w:ascii="Calibri" w:cs="Calibri" w:eastAsia="Calibri" w:hAnsi="Calibri"/>
          <w:b w:val="false"/>
          <w:bCs w:val="false"/>
          <w:i w:val="false"/>
          <w:iCs w:val="false"/>
          <w:color w:val="2C2C2C"/>
          <w:sz w:val="22"/>
          <w:szCs w:val="22"/>
        </w:rPr>
        <w:t xml:space="preserve">HIP is essential and is capacity constrained at the national level.</w:t>
      </w:r>
    </w:p>
    <w:p>
      <w:pPr>
        <w:spacing w:after="120" w:before="60" w:line="300"/>
        <w:jc w:val="both"/>
      </w:pPr>
      <w:r>
        <w:rPr>
          <w:rFonts w:ascii="Calibri" w:cs="Calibri" w:eastAsia="Calibri" w:hAnsi="Calibri"/>
          <w:b w:val="false"/>
          <w:bCs w:val="false"/>
          <w:i w:val="false"/>
          <w:iCs w:val="false"/>
          <w:color w:val="2C2C2C"/>
          <w:sz w:val="22"/>
          <w:szCs w:val="22"/>
        </w:rPr>
        <w:t xml:space="preserve">Mitigation. Plan HIP capacity in parallel with facility capacity. Consider co-located HIP vessels at the facility where the economics support it. Establish dedicated capacity agreements with HIP providers to secure reliable scheduling.</w:t>
      </w:r>
    </w:p>
    <w:p>
      <w:pPr>
        <w:pStyle w:val="Heading4"/>
        <w:spacing w:after="80" w:before="180" w:line="280"/>
      </w:pPr>
      <w:r>
        <w:rPr>
          <w:rFonts w:ascii="Calibri" w:cs="Calibri" w:eastAsia="Calibri" w:hAnsi="Calibri"/>
          <w:b/>
          <w:bCs/>
          <w:color w:val="0F1B33"/>
          <w:sz w:val="22"/>
          <w:szCs w:val="22"/>
        </w:rPr>
        <w:t xml:space="preserve">Nondestructive Inspection Throughput</w:t>
      </w:r>
    </w:p>
    <w:p>
      <w:pPr>
        <w:spacing w:after="120" w:before="60" w:line="300"/>
        <w:jc w:val="both"/>
      </w:pPr>
      <w:r>
        <w:rPr>
          <w:rFonts w:ascii="Calibri" w:cs="Calibri" w:eastAsia="Calibri" w:hAnsi="Calibri"/>
          <w:b w:val="false"/>
          <w:bCs w:val="false"/>
          <w:i w:val="false"/>
          <w:iCs w:val="false"/>
          <w:color w:val="2C2C2C"/>
          <w:sz w:val="22"/>
          <w:szCs w:val="22"/>
        </w:rPr>
        <w:t xml:space="preserve">Inspection capacity, particularly for digital radiography and computed tomography of complex blade geometries, is a potential bottleneck.</w:t>
      </w:r>
    </w:p>
    <w:p>
      <w:pPr>
        <w:spacing w:after="120" w:before="60" w:line="300"/>
        <w:jc w:val="both"/>
      </w:pPr>
      <w:r>
        <w:rPr>
          <w:rFonts w:ascii="Calibri" w:cs="Calibri" w:eastAsia="Calibri" w:hAnsi="Calibri"/>
          <w:b w:val="false"/>
          <w:bCs w:val="false"/>
          <w:i w:val="false"/>
          <w:iCs w:val="false"/>
          <w:color w:val="2C2C2C"/>
          <w:sz w:val="22"/>
          <w:szCs w:val="22"/>
        </w:rPr>
        <w:t xml:space="preserve">Mitigation. Install inspection capacity in line with production rather than relying on offsite inspection. Invest in automated inspection systems that can operate on a production cadence rather than a batch cadence.</w:t>
      </w:r>
    </w:p>
    <w:p>
      <w:pPr>
        <w:pStyle w:val="Heading2"/>
        <w:spacing w:after="140" w:before="300" w:line="300"/>
      </w:pPr>
      <w:r>
        <w:rPr>
          <w:rFonts w:ascii="Calibri" w:cs="Calibri" w:eastAsia="Calibri" w:hAnsi="Calibri"/>
          <w:b/>
          <w:bCs/>
          <w:color w:val="1B2A4A"/>
          <w:sz w:val="28"/>
          <w:szCs w:val="28"/>
        </w:rPr>
        <w:t xml:space="preserve">15.4 Security and Geopolitical Risks</w:t>
      </w:r>
    </w:p>
    <w:p>
      <w:pPr>
        <w:pStyle w:val="Heading4"/>
        <w:spacing w:after="80" w:before="180" w:line="280"/>
      </w:pPr>
      <w:r>
        <w:rPr>
          <w:rFonts w:ascii="Calibri" w:cs="Calibri" w:eastAsia="Calibri" w:hAnsi="Calibri"/>
          <w:b/>
          <w:bCs/>
          <w:color w:val="0F1B33"/>
          <w:sz w:val="22"/>
          <w:szCs w:val="22"/>
        </w:rPr>
        <w:t xml:space="preserve">Adversary Cyber Intrusion</w:t>
      </w:r>
    </w:p>
    <w:p>
      <w:pPr>
        <w:spacing w:after="120" w:before="60" w:line="300"/>
        <w:jc w:val="both"/>
      </w:pPr>
      <w:r>
        <w:rPr>
          <w:rFonts w:ascii="Calibri" w:cs="Calibri" w:eastAsia="Calibri" w:hAnsi="Calibri"/>
          <w:b w:val="false"/>
          <w:bCs w:val="false"/>
          <w:i w:val="false"/>
          <w:iCs w:val="false"/>
          <w:color w:val="2C2C2C"/>
          <w:sz w:val="22"/>
          <w:szCs w:val="22"/>
        </w:rPr>
        <w:t xml:space="preserve">The facility's digital process data, intellectual property, and production information are attractive targets for adversary cyber intrusion. A successful intrusion could compromise competitive position, leak classified information, or disrupt production.</w:t>
      </w:r>
    </w:p>
    <w:p>
      <w:pPr>
        <w:spacing w:after="120" w:before="60" w:line="300"/>
        <w:jc w:val="both"/>
      </w:pPr>
      <w:r>
        <w:rPr>
          <w:rFonts w:ascii="Calibri" w:cs="Calibri" w:eastAsia="Calibri" w:hAnsi="Calibri"/>
          <w:b w:val="false"/>
          <w:bCs w:val="false"/>
          <w:i w:val="false"/>
          <w:iCs w:val="false"/>
          <w:color w:val="2C2C2C"/>
          <w:sz w:val="22"/>
          <w:szCs w:val="22"/>
        </w:rPr>
        <w:t xml:space="preserve">Mitigation. Architect the facility for CMMC Level 2 or higher from day one. Segment the operational technology networks from the information technology networks. Conduct regular penetration testing and supply chain cyber risk assessments. Maintain close coordination with the Defense Counterintelligence and Security Agency.</w:t>
      </w:r>
    </w:p>
    <w:p>
      <w:pPr>
        <w:pStyle w:val="Heading4"/>
        <w:spacing w:after="80" w:before="180" w:line="280"/>
      </w:pPr>
      <w:r>
        <w:rPr>
          <w:rFonts w:ascii="Calibri" w:cs="Calibri" w:eastAsia="Calibri" w:hAnsi="Calibri"/>
          <w:b/>
          <w:bCs/>
          <w:color w:val="0F1B33"/>
          <w:sz w:val="22"/>
          <w:szCs w:val="22"/>
        </w:rPr>
        <w:t xml:space="preserve">Insider Risk</w:t>
      </w:r>
    </w:p>
    <w:p>
      <w:pPr>
        <w:spacing w:after="120" w:before="60" w:line="300"/>
        <w:jc w:val="both"/>
      </w:pPr>
      <w:r>
        <w:rPr>
          <w:rFonts w:ascii="Calibri" w:cs="Calibri" w:eastAsia="Calibri" w:hAnsi="Calibri"/>
          <w:b w:val="false"/>
          <w:bCs w:val="false"/>
          <w:i w:val="false"/>
          <w:iCs w:val="false"/>
          <w:color w:val="2C2C2C"/>
          <w:sz w:val="22"/>
          <w:szCs w:val="22"/>
        </w:rPr>
        <w:t xml:space="preserve">High value manufacturing facilities are attractive targets for insider recruitment by foreign intelligence services or economic competitors.</w:t>
      </w:r>
    </w:p>
    <w:p>
      <w:pPr>
        <w:spacing w:after="120" w:before="60" w:line="300"/>
        <w:jc w:val="both"/>
      </w:pPr>
      <w:r>
        <w:rPr>
          <w:rFonts w:ascii="Calibri" w:cs="Calibri" w:eastAsia="Calibri" w:hAnsi="Calibri"/>
          <w:b w:val="false"/>
          <w:bCs w:val="false"/>
          <w:i w:val="false"/>
          <w:iCs w:val="false"/>
          <w:color w:val="2C2C2C"/>
          <w:sz w:val="22"/>
          <w:szCs w:val="22"/>
        </w:rPr>
        <w:t xml:space="preserve">Mitigation. Implement robust personnel security procedures. Maintain active counterintelligence awareness programs for facility staff. Partition sensitive information on a need to know basis, and control access to trade secret critical process recipes.</w:t>
      </w:r>
    </w:p>
    <w:p>
      <w:pPr>
        <w:pStyle w:val="Heading4"/>
        <w:spacing w:after="80" w:before="180" w:line="280"/>
      </w:pPr>
      <w:r>
        <w:rPr>
          <w:rFonts w:ascii="Calibri" w:cs="Calibri" w:eastAsia="Calibri" w:hAnsi="Calibri"/>
          <w:b/>
          <w:bCs/>
          <w:color w:val="0F1B33"/>
          <w:sz w:val="22"/>
          <w:szCs w:val="22"/>
        </w:rPr>
        <w:t xml:space="preserve">Geopolitical Disruption of Upstream Supply</w:t>
      </w:r>
    </w:p>
    <w:p>
      <w:pPr>
        <w:spacing w:after="120" w:before="60" w:line="300"/>
        <w:jc w:val="both"/>
      </w:pPr>
      <w:r>
        <w:rPr>
          <w:rFonts w:ascii="Calibri" w:cs="Calibri" w:eastAsia="Calibri" w:hAnsi="Calibri"/>
          <w:b w:val="false"/>
          <w:bCs w:val="false"/>
          <w:i w:val="false"/>
          <w:iCs w:val="false"/>
          <w:color w:val="2C2C2C"/>
          <w:sz w:val="22"/>
          <w:szCs w:val="22"/>
        </w:rPr>
        <w:t xml:space="preserve">Some critical minerals and specialty materials have supply chains that touch geopolitically sensitive regions.</w:t>
      </w:r>
    </w:p>
    <w:p>
      <w:pPr>
        <w:spacing w:after="120" w:before="60" w:line="300"/>
        <w:jc w:val="both"/>
      </w:pPr>
      <w:r>
        <w:rPr>
          <w:rFonts w:ascii="Calibri" w:cs="Calibri" w:eastAsia="Calibri" w:hAnsi="Calibri"/>
          <w:b w:val="false"/>
          <w:bCs w:val="false"/>
          <w:i w:val="false"/>
          <w:iCs w:val="false"/>
          <w:color w:val="2C2C2C"/>
          <w:sz w:val="22"/>
          <w:szCs w:val="22"/>
        </w:rPr>
        <w:t xml:space="preserve">Mitigation. Where feasible, prefer domestic or allied sources for all critical upstream inputs. Where substitution is possible, develop substitute supply chains. Engage with the Department of Commerce and federal industrial base analysis programs to stay informed about supply chain developments.</w:t>
      </w:r>
    </w:p>
    <w:p>
      <w:pPr>
        <w:pStyle w:val="Heading2"/>
        <w:spacing w:after="140" w:before="300" w:line="300"/>
      </w:pPr>
      <w:r>
        <w:rPr>
          <w:rFonts w:ascii="Calibri" w:cs="Calibri" w:eastAsia="Calibri" w:hAnsi="Calibri"/>
          <w:b/>
          <w:bCs/>
          <w:color w:val="1B2A4A"/>
          <w:sz w:val="28"/>
          <w:szCs w:val="28"/>
        </w:rPr>
        <w:t xml:space="preserve">15.5 Financial Risks</w:t>
      </w:r>
    </w:p>
    <w:p>
      <w:pPr>
        <w:pStyle w:val="Heading4"/>
        <w:spacing w:after="80" w:before="180" w:line="280"/>
      </w:pPr>
      <w:r>
        <w:rPr>
          <w:rFonts w:ascii="Calibri" w:cs="Calibri" w:eastAsia="Calibri" w:hAnsi="Calibri"/>
          <w:b/>
          <w:bCs/>
          <w:color w:val="0F1B33"/>
          <w:sz w:val="22"/>
          <w:szCs w:val="22"/>
        </w:rPr>
        <w:t xml:space="preserve">Capital Cost Overrun</w:t>
      </w:r>
    </w:p>
    <w:p>
      <w:pPr>
        <w:spacing w:after="120" w:before="60" w:line="300"/>
        <w:jc w:val="both"/>
      </w:pPr>
      <w:r>
        <w:rPr>
          <w:rFonts w:ascii="Calibri" w:cs="Calibri" w:eastAsia="Calibri" w:hAnsi="Calibri"/>
          <w:b w:val="false"/>
          <w:bCs w:val="false"/>
          <w:i w:val="false"/>
          <w:iCs w:val="false"/>
          <w:color w:val="2C2C2C"/>
          <w:sz w:val="22"/>
          <w:szCs w:val="22"/>
        </w:rPr>
        <w:t xml:space="preserve">Large capital projects routinely experience cost overruns. A material overrun on a facility of this scale can represent a significant program issue.</w:t>
      </w:r>
    </w:p>
    <w:p>
      <w:pPr>
        <w:spacing w:after="120" w:before="60" w:line="300"/>
        <w:jc w:val="both"/>
      </w:pPr>
      <w:r>
        <w:rPr>
          <w:rFonts w:ascii="Calibri" w:cs="Calibri" w:eastAsia="Calibri" w:hAnsi="Calibri"/>
          <w:b w:val="false"/>
          <w:bCs w:val="false"/>
          <w:i w:val="false"/>
          <w:iCs w:val="false"/>
          <w:color w:val="2C2C2C"/>
          <w:sz w:val="22"/>
          <w:szCs w:val="22"/>
        </w:rPr>
        <w:t xml:space="preserve">Mitigation. Include realistic contingency in the capital cost plan. Use fixed price construction contracts where feasible. Phase equipment purchases to allow for learning and negotiation between tranches.</w:t>
      </w:r>
    </w:p>
    <w:p>
      <w:pPr>
        <w:pStyle w:val="Heading4"/>
        <w:spacing w:after="80" w:before="180" w:line="280"/>
      </w:pPr>
      <w:r>
        <w:rPr>
          <w:rFonts w:ascii="Calibri" w:cs="Calibri" w:eastAsia="Calibri" w:hAnsi="Calibri"/>
          <w:b/>
          <w:bCs/>
          <w:color w:val="0F1B33"/>
          <w:sz w:val="22"/>
          <w:szCs w:val="22"/>
        </w:rPr>
        <w:t xml:space="preserve">Operating Cost Pressure</w:t>
      </w:r>
    </w:p>
    <w:p>
      <w:pPr>
        <w:spacing w:after="120" w:before="60" w:line="300"/>
        <w:jc w:val="both"/>
      </w:pPr>
      <w:r>
        <w:rPr>
          <w:rFonts w:ascii="Calibri" w:cs="Calibri" w:eastAsia="Calibri" w:hAnsi="Calibri"/>
          <w:b w:val="false"/>
          <w:bCs w:val="false"/>
          <w:i w:val="false"/>
          <w:iCs w:val="false"/>
          <w:color w:val="2C2C2C"/>
          <w:sz w:val="22"/>
          <w:szCs w:val="22"/>
        </w:rPr>
        <w:t xml:space="preserve">Unexpected labor, energy, or material cost inflation can compress margins.</w:t>
      </w:r>
    </w:p>
    <w:p>
      <w:pPr>
        <w:spacing w:after="120" w:before="60" w:line="300"/>
        <w:jc w:val="both"/>
      </w:pPr>
      <w:r>
        <w:rPr>
          <w:rFonts w:ascii="Calibri" w:cs="Calibri" w:eastAsia="Calibri" w:hAnsi="Calibri"/>
          <w:b w:val="false"/>
          <w:bCs w:val="false"/>
          <w:i w:val="false"/>
          <w:iCs w:val="false"/>
          <w:color w:val="2C2C2C"/>
          <w:sz w:val="22"/>
          <w:szCs w:val="22"/>
        </w:rPr>
        <w:t xml:space="preserve">Mitigation. Structure supply agreements with pricing mechanisms that share inflation risk appropriately. Design the facility for energy efficiency to limit exposure to utility cost swings. Maintain productivity improvement programs that offset labor cost pressure.</w:t>
      </w:r>
    </w:p>
    <w:p>
      <w:pPr>
        <w:pStyle w:val="Heading4"/>
        <w:spacing w:after="80" w:before="180" w:line="280"/>
      </w:pPr>
      <w:r>
        <w:rPr>
          <w:rFonts w:ascii="Calibri" w:cs="Calibri" w:eastAsia="Calibri" w:hAnsi="Calibri"/>
          <w:b/>
          <w:bCs/>
          <w:color w:val="0F1B33"/>
          <w:sz w:val="22"/>
          <w:szCs w:val="22"/>
        </w:rPr>
        <w:t xml:space="preserve">Utilization Gap</w:t>
      </w:r>
    </w:p>
    <w:p>
      <w:pPr>
        <w:spacing w:after="120" w:before="60" w:line="300"/>
        <w:jc w:val="both"/>
      </w:pPr>
      <w:r>
        <w:rPr>
          <w:rFonts w:ascii="Calibri" w:cs="Calibri" w:eastAsia="Calibri" w:hAnsi="Calibri"/>
          <w:b w:val="false"/>
          <w:bCs w:val="false"/>
          <w:i w:val="false"/>
          <w:iCs w:val="false"/>
          <w:color w:val="2C2C2C"/>
          <w:sz w:val="22"/>
          <w:szCs w:val="22"/>
        </w:rPr>
        <w:t xml:space="preserve">A facility running below target utilization struggles to cover fixed costs.</w:t>
      </w:r>
    </w:p>
    <w:p>
      <w:pPr>
        <w:spacing w:after="120" w:before="60" w:line="300"/>
        <w:jc w:val="both"/>
      </w:pPr>
      <w:r>
        <w:rPr>
          <w:rFonts w:ascii="Calibri" w:cs="Calibri" w:eastAsia="Calibri" w:hAnsi="Calibri"/>
          <w:b w:val="false"/>
          <w:bCs w:val="false"/>
          <w:i w:val="false"/>
          <w:iCs w:val="false"/>
          <w:color w:val="2C2C2C"/>
          <w:sz w:val="22"/>
          <w:szCs w:val="22"/>
        </w:rPr>
        <w:t xml:space="preserve">Mitigation. Anchor utilization with firm Replicator baseline contracts before scaling. Maintain a funnel of adjacent market opportunities that can backfill any utilization gap. Design the facility with a base load that can be reliably covered by the most conservative demand assumption.</w:t>
      </w:r>
    </w:p>
    <w:p>
      <w:pPr>
        <w:spacing w:after="160" w:before="0"/>
      </w:pPr>
      <w:r>
        <w:t xml:space="preserve"/>
      </w:r>
    </w:p>
    <w:p>
      <w:pPr>
        <w:pStyle w:val="Heading2"/>
        <w:spacing w:after="140" w:before="300" w:line="300"/>
      </w:pPr>
      <w:r>
        <w:rPr>
          <w:rFonts w:ascii="Calibri" w:cs="Calibri" w:eastAsia="Calibri" w:hAnsi="Calibri"/>
          <w:b/>
          <w:bCs/>
          <w:color w:val="1B2A4A"/>
          <w:sz w:val="28"/>
          <w:szCs w:val="28"/>
        </w:rPr>
        <w:t xml:space="preserve">15.6 Overall Risk Posture</w:t>
      </w:r>
    </w:p>
    <w:p>
      <w:pPr>
        <w:spacing w:after="120" w:before="60" w:line="300"/>
        <w:jc w:val="both"/>
      </w:pPr>
      <w:r>
        <w:rPr>
          <w:rFonts w:ascii="Calibri" w:cs="Calibri" w:eastAsia="Calibri" w:hAnsi="Calibri"/>
          <w:b w:val="false"/>
          <w:bCs w:val="false"/>
          <w:i w:val="false"/>
          <w:iCs w:val="false"/>
          <w:color w:val="2C2C2C"/>
          <w:sz w:val="22"/>
          <w:szCs w:val="22"/>
        </w:rPr>
        <w:t xml:space="preserve">The cumulative risk profile of the facility program is comparable to other major specialty manufacturing investments in the defense aerospace sector. No risk is individually catastrophic, but several risks require active management throughout the program lifecycle. A formal risk management office within the program structure, reporting to the oversight board described in Section 14, should be established in Phase One and should maintain an active risk register through Phase Four and beyond.</w:t>
      </w:r>
    </w:p>
    <w:p>
      <w:pPr>
        <w:pageBreakBefore/>
        <w:spacing w:after="60" w:before="200"/>
      </w:pPr>
      <w:r>
        <w:rPr>
          <w:rFonts w:ascii="Calibri" w:cs="Calibri" w:eastAsia="Calibri" w:hAnsi="Calibri"/>
          <w:b/>
          <w:bCs/>
          <w:color w:val="2E5C8A"/>
          <w:sz w:val="18"/>
          <w:szCs w:val="18"/>
        </w:rPr>
        <w:t xml:space="preserve">SECTION 16</w:t>
      </w:r>
    </w:p>
    <w:p>
      <w:pPr>
        <w:pStyle w:val="Heading1"/>
        <w:spacing w:after="200" w:before="400" w:line="300"/>
      </w:pPr>
      <w:r>
        <w:rPr>
          <w:rFonts w:ascii="Calibri" w:cs="Calibri" w:eastAsia="Calibri" w:hAnsi="Calibri"/>
          <w:b/>
          <w:bCs/>
          <w:color w:val="1B2A4A"/>
          <w:sz w:val="36"/>
          <w:szCs w:val="36"/>
        </w:rPr>
        <w:t xml:space="preserve">Conclusions and Call to Action</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This paper has argued that the Department of Defense attritable autonomy doctrine, translated into industrial policy through the Replicator initiative, creates a demand signal for attritable microturbine propulsion that the current U.S. investment casting base cannot meet. It has argued that the bottleneck is specifically in the hot section nickel superalloy airfoil, that MAR-M247 and related alloys remain the definitive material solution, and that conventional investment casting carries structural cost, lead time, and supply chain limits that cannot be scaled away.</w:t>
      </w:r>
    </w:p>
    <w:p>
      <w:pPr>
        <w:spacing w:after="120" w:before="60" w:line="300"/>
        <w:jc w:val="both"/>
      </w:pPr>
      <w:r>
        <w:rPr>
          <w:rFonts w:ascii="Calibri" w:cs="Calibri" w:eastAsia="Calibri" w:hAnsi="Calibri"/>
          <w:b w:val="false"/>
          <w:bCs w:val="false"/>
          <w:i w:val="false"/>
          <w:iCs w:val="false"/>
          <w:color w:val="2C2C2C"/>
          <w:sz w:val="22"/>
          <w:szCs w:val="22"/>
        </w:rPr>
        <w:t xml:space="preserve">It has argued that digital investment casting, specifically the combination of ceramic additive manufacturing, foundry integration, and digital process control, delivers the thirty to fifty percent cost reduction and ten times lead time compression that attritable propulsion economics require. It has argued that DDM Systems has developed and deployed this category at production scale, with reference installations at commercial foundries, defense primes, and the United States Air Force.</w:t>
      </w:r>
    </w:p>
    <w:p>
      <w:pPr>
        <w:spacing w:after="120" w:before="60" w:line="300"/>
        <w:jc w:val="both"/>
      </w:pPr>
      <w:r>
        <w:rPr>
          <w:rFonts w:ascii="Calibri" w:cs="Calibri" w:eastAsia="Calibri" w:hAnsi="Calibri"/>
          <w:b w:val="false"/>
          <w:bCs w:val="false"/>
          <w:i w:val="false"/>
          <w:iCs w:val="false"/>
          <w:color w:val="2C2C2C"/>
          <w:sz w:val="22"/>
          <w:szCs w:val="22"/>
        </w:rPr>
        <w:t xml:space="preserve">It has argued that closing the Replicator propulsion gap requires new, purpose-built dedicated facilities rather than incremental expansion of existing conventional suppliers, and it has described a four phase roadmap that can deliver initial operational capacity by 2029 and full rate by 2030 if Phase One funding is obligated by fiscal year 2027.</w:t>
      </w:r>
    </w:p>
    <w:p>
      <w:pPr>
        <w:spacing w:after="160" w:before="0"/>
      </w:pPr>
      <w:r>
        <w:t xml:space="preserve"/>
      </w:r>
    </w:p>
    <w:p>
      <w:pPr>
        <w:pStyle w:val="Heading2"/>
        <w:spacing w:after="140" w:before="300" w:line="300"/>
      </w:pPr>
      <w:r>
        <w:rPr>
          <w:rFonts w:ascii="Calibri" w:cs="Calibri" w:eastAsia="Calibri" w:hAnsi="Calibri"/>
          <w:b/>
          <w:bCs/>
          <w:color w:val="1B2A4A"/>
          <w:sz w:val="28"/>
          <w:szCs w:val="28"/>
        </w:rPr>
        <w:t xml:space="preserve">Summary of Conclusions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rPr>
          <w:cantSplit/>
        </w:trPr>
        <w:tc>
          <w:tcPr>
            <w:tcW w:type="dxa" w:w="4680"/>
            <w:tcBorders>
              <w:top w:val="single" w:color="1B2A4A" w:sz="12"/>
              <w:left w:val="single" w:color="1B2A4A" w:sz="2"/>
              <w:bottom w:val="single" w:color="1B2A4A" w:sz="2"/>
              <w:right w:val="single" w:color="1B2A4A" w:sz="2"/>
            </w:tcBorders>
            <w:shd w:fill="EBF2F7" w:val="clear"/>
            <w:tcMar>
              <w:top w:type="dxa" w:w="160"/>
              <w:left w:type="dxa" w:w="180"/>
              <w:bottom w:type="dxa" w:w="160"/>
              <w:right w:type="dxa" w:w="180"/>
            </w:tcMar>
          </w:tcPr>
          <w:p>
            <w:pPr>
              <w:spacing w:after="80" w:before="0"/>
            </w:pPr>
            <w:r>
              <w:rPr>
                <w:rFonts w:ascii="Calibri" w:cs="Calibri" w:eastAsia="Calibri" w:hAnsi="Calibri"/>
                <w:b/>
                <w:bCs/>
                <w:color w:val="1B2A4A"/>
                <w:sz w:val="22"/>
                <w:szCs w:val="22"/>
              </w:rPr>
              <w:t xml:space="preserve">MATERIALS ARE READY</w:t>
            </w:r>
          </w:p>
          <w:p>
            <w:pPr>
              <w:spacing w:after="0" w:before="0" w:line="280"/>
              <w:jc w:val="left"/>
            </w:pPr>
            <w:r>
              <w:rPr>
                <w:rFonts w:ascii="Calibri" w:cs="Calibri" w:eastAsia="Calibri" w:hAnsi="Calibri"/>
                <w:color w:val="2C2C2C"/>
                <w:sz w:val="20"/>
                <w:szCs w:val="20"/>
              </w:rPr>
              <w:t xml:space="preserve">MAR-M247 and nickel superalloys remain the definitive solution for drone turbine hot-section components. No substitute material achieves equivalent performance at operating temperatures above one thousand degrees Celsius.</w:t>
            </w:r>
          </w:p>
        </w:tc>
        <w:tc>
          <w:tcPr>
            <w:tcW w:type="dxa" w:w="4680"/>
            <w:tcBorders>
              <w:top w:val="single" w:color="1B2A4A" w:sz="12"/>
              <w:left w:val="single" w:color="1B2A4A" w:sz="2"/>
              <w:bottom w:val="single" w:color="1B2A4A" w:sz="2"/>
              <w:right w:val="single" w:color="1B2A4A" w:sz="2"/>
            </w:tcBorders>
            <w:shd w:fill="EBF2F7" w:val="clear"/>
            <w:tcMar>
              <w:top w:type="dxa" w:w="160"/>
              <w:left w:type="dxa" w:w="180"/>
              <w:bottom w:type="dxa" w:w="160"/>
              <w:right w:type="dxa" w:w="180"/>
            </w:tcMar>
          </w:tcPr>
          <w:p>
            <w:pPr>
              <w:spacing w:after="80" w:before="0"/>
            </w:pPr>
            <w:r>
              <w:rPr>
                <w:rFonts w:ascii="Calibri" w:cs="Calibri" w:eastAsia="Calibri" w:hAnsi="Calibri"/>
                <w:b/>
                <w:bCs/>
                <w:color w:val="1B2A4A"/>
                <w:sz w:val="22"/>
                <w:szCs w:val="22"/>
              </w:rPr>
              <w:t xml:space="preserve">DEMAND IS VALIDATED</w:t>
            </w:r>
          </w:p>
          <w:p>
            <w:pPr>
              <w:spacing w:after="0" w:before="0" w:line="280"/>
              <w:jc w:val="left"/>
            </w:pPr>
            <w:r>
              <w:rPr>
                <w:rFonts w:ascii="Calibri" w:cs="Calibri" w:eastAsia="Calibri" w:hAnsi="Calibri"/>
                <w:color w:val="2C2C2C"/>
                <w:sz w:val="20"/>
                <w:szCs w:val="20"/>
              </w:rPr>
              <w:t xml:space="preserve">Replicator 1 and Replicator 2 create an unmatched, multi-year demand signal for affordable, scalable microturbine propulsion at volumes the current industrial base cannot satisfy.</w:t>
            </w:r>
          </w:p>
        </w:tc>
      </w:tr>
    </w:tbl>
    <w:p>
      <w:pPr>
        <w:spacing w:after="16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rPr>
          <w:cantSplit/>
        </w:trPr>
        <w:tc>
          <w:tcPr>
            <w:tcW w:type="dxa" w:w="4680"/>
            <w:tcBorders>
              <w:top w:val="single" w:color="1B2A4A" w:sz="12"/>
              <w:left w:val="single" w:color="1B2A4A" w:sz="2"/>
              <w:bottom w:val="single" w:color="1B2A4A" w:sz="2"/>
              <w:right w:val="single" w:color="1B2A4A" w:sz="2"/>
            </w:tcBorders>
            <w:shd w:fill="EBF2F7" w:val="clear"/>
            <w:tcMar>
              <w:top w:type="dxa" w:w="160"/>
              <w:left w:type="dxa" w:w="180"/>
              <w:bottom w:type="dxa" w:w="160"/>
              <w:right w:type="dxa" w:w="180"/>
            </w:tcMar>
          </w:tcPr>
          <w:p>
            <w:pPr>
              <w:spacing w:after="80" w:before="0"/>
            </w:pPr>
            <w:r>
              <w:rPr>
                <w:rFonts w:ascii="Calibri" w:cs="Calibri" w:eastAsia="Calibri" w:hAnsi="Calibri"/>
                <w:b/>
                <w:bCs/>
                <w:color w:val="1B2A4A"/>
                <w:sz w:val="22"/>
                <w:szCs w:val="22"/>
              </w:rPr>
              <w:t xml:space="preserve">TECHNOLOGY IS PROVEN</w:t>
            </w:r>
          </w:p>
          <w:p>
            <w:pPr>
              <w:spacing w:after="0" w:before="0" w:line="280"/>
              <w:jc w:val="left"/>
            </w:pPr>
            <w:r>
              <w:rPr>
                <w:rFonts w:ascii="Calibri" w:cs="Calibri" w:eastAsia="Calibri" w:hAnsi="Calibri"/>
                <w:color w:val="2C2C2C"/>
                <w:sz w:val="20"/>
                <w:szCs w:val="20"/>
              </w:rPr>
              <w:t xml:space="preserve">Advanced digital investment casting delivers the thirty to fifty percent cost reduction and lead time compression required to make attritable turbine propulsion economically viable at swarm scale.</w:t>
            </w:r>
          </w:p>
        </w:tc>
        <w:tc>
          <w:tcPr>
            <w:tcW w:type="dxa" w:w="4680"/>
            <w:tcBorders>
              <w:top w:val="single" w:color="1B2A4A" w:sz="12"/>
              <w:left w:val="single" w:color="1B2A4A" w:sz="2"/>
              <w:bottom w:val="single" w:color="1B2A4A" w:sz="2"/>
              <w:right w:val="single" w:color="1B2A4A" w:sz="2"/>
            </w:tcBorders>
            <w:shd w:fill="EBF2F7" w:val="clear"/>
            <w:tcMar>
              <w:top w:type="dxa" w:w="160"/>
              <w:left w:type="dxa" w:w="180"/>
              <w:bottom w:type="dxa" w:w="160"/>
              <w:right w:type="dxa" w:w="180"/>
            </w:tcMar>
          </w:tcPr>
          <w:p>
            <w:pPr>
              <w:spacing w:after="80" w:before="0"/>
            </w:pPr>
            <w:r>
              <w:rPr>
                <w:rFonts w:ascii="Calibri" w:cs="Calibri" w:eastAsia="Calibri" w:hAnsi="Calibri"/>
                <w:b/>
                <w:bCs/>
                <w:color w:val="1B2A4A"/>
                <w:sz w:val="22"/>
                <w:szCs w:val="22"/>
              </w:rPr>
              <w:t xml:space="preserve">FACILITIES ARE CRITICAL</w:t>
            </w:r>
          </w:p>
          <w:p>
            <w:pPr>
              <w:spacing w:after="0" w:before="0" w:line="280"/>
              <w:jc w:val="left"/>
            </w:pPr>
            <w:r>
              <w:rPr>
                <w:rFonts w:ascii="Calibri" w:cs="Calibri" w:eastAsia="Calibri" w:hAnsi="Calibri"/>
                <w:color w:val="2C2C2C"/>
                <w:sz w:val="20"/>
                <w:szCs w:val="20"/>
              </w:rPr>
              <w:t xml:space="preserve">New dedicated U.S. casting facilities are the decisive enabling action. Without them, DoD attritable autonomy goals remain aspirational rather than operational.</w:t>
            </w:r>
          </w:p>
        </w:tc>
      </w:tr>
    </w:tbl>
    <w:p>
      <w:pPr>
        <w:spacing w:after="240" w:before="0"/>
      </w:pPr>
      <w:r>
        <w:t xml:space="preserve"/>
      </w:r>
    </w:p>
    <w:p>
      <w:pPr>
        <w:pStyle w:val="Heading2"/>
        <w:spacing w:after="140" w:before="300" w:line="300"/>
      </w:pPr>
      <w:r>
        <w:rPr>
          <w:rFonts w:ascii="Calibri" w:cs="Calibri" w:eastAsia="Calibri" w:hAnsi="Calibri"/>
          <w:b/>
          <w:bCs/>
          <w:color w:val="1B2A4A"/>
          <w:sz w:val="28"/>
          <w:szCs w:val="28"/>
        </w:rPr>
        <w:t xml:space="preserve">Five Specific Actions</w:t>
      </w:r>
    </w:p>
    <w:p>
      <w:pPr>
        <w:spacing w:after="120" w:before="60" w:line="300"/>
        <w:jc w:val="both"/>
      </w:pPr>
      <w:r>
        <w:rPr>
          <w:rFonts w:ascii="Calibri" w:cs="Calibri" w:eastAsia="Calibri" w:hAnsi="Calibri"/>
          <w:b w:val="false"/>
          <w:bCs w:val="false"/>
          <w:i w:val="false"/>
          <w:iCs w:val="false"/>
          <w:color w:val="2C2C2C"/>
          <w:sz w:val="22"/>
          <w:szCs w:val="22"/>
        </w:rPr>
        <w:t xml:space="preserve">This paper concludes with five specific actions for Department of Defense program offices, the Defense Innovation Unit, engine OEMs, prime integrators, and investor partners. Each action is actionable beginning in calendar year 2026, and each has an identified owner.</w:t>
      </w:r>
    </w:p>
    <w:p>
      <w:pPr>
        <w:pStyle w:val="ListParagraph"/>
        <w:numPr>
          <w:ilvl w:val="0"/>
          <w:numId w:val="10"/>
        </w:numPr>
        <w:spacing w:after="40" w:before="40" w:line="280"/>
      </w:pPr>
      <w:r>
        <w:rPr>
          <w:rFonts w:ascii="Calibri" w:cs="Calibri" w:eastAsia="Calibri" w:hAnsi="Calibri"/>
          <w:color w:val="2C2C2C"/>
          <w:sz w:val="22"/>
          <w:szCs w:val="22"/>
        </w:rPr>
        <w:t xml:space="preserve">Establish two to three dedicated digital investment casting facilities in U.S. aerospace and defense industrial corridors, sized for thousands of MAR-M247 blades per month at full rate. Owner. OUSD R and E in coordination with DIU and the military services.</w:t>
      </w:r>
    </w:p>
    <w:p>
      <w:pPr>
        <w:pStyle w:val="ListParagraph"/>
        <w:numPr>
          <w:ilvl w:val="0"/>
          <w:numId w:val="10"/>
        </w:numPr>
        <w:spacing w:after="40" w:before="40" w:line="280"/>
      </w:pPr>
      <w:r>
        <w:rPr>
          <w:rFonts w:ascii="Calibri" w:cs="Calibri" w:eastAsia="Calibri" w:hAnsi="Calibri"/>
          <w:color w:val="2C2C2C"/>
          <w:sz w:val="22"/>
          <w:szCs w:val="22"/>
        </w:rPr>
        <w:t xml:space="preserve">Obligate Replicator authority funding by fiscal year 2027 to underwrite facility design, site selection, and initial equipment procurement, with a blended public and private financing model. Target obligation in the fourth quarter of fiscal year 2026 or in fiscal year 2027. Owner. DIU in coordination with OUSD R and E.</w:t>
      </w:r>
    </w:p>
    <w:p>
      <w:pPr>
        <w:pStyle w:val="ListParagraph"/>
        <w:numPr>
          <w:ilvl w:val="0"/>
          <w:numId w:val="10"/>
        </w:numPr>
        <w:spacing w:after="40" w:before="40" w:line="280"/>
      </w:pPr>
      <w:r>
        <w:rPr>
          <w:rFonts w:ascii="Calibri" w:cs="Calibri" w:eastAsia="Calibri" w:hAnsi="Calibri"/>
          <w:color w:val="2C2C2C"/>
          <w:sz w:val="22"/>
          <w:szCs w:val="22"/>
        </w:rPr>
        <w:t xml:space="preserve">Adopt attritable qualification pathways that exploit digital process control to accelerate first article certification without compromising flight safety. Codify these pathways in policy and propagate them through platform program offices. Owner. OUSD R and E and the military service program offices.</w:t>
      </w:r>
    </w:p>
    <w:p>
      <w:pPr>
        <w:pStyle w:val="ListParagraph"/>
        <w:numPr>
          <w:ilvl w:val="0"/>
          <w:numId w:val="10"/>
        </w:numPr>
        <w:spacing w:after="40" w:before="40" w:line="280"/>
      </w:pPr>
      <w:r>
        <w:rPr>
          <w:rFonts w:ascii="Calibri" w:cs="Calibri" w:eastAsia="Calibri" w:hAnsi="Calibri"/>
          <w:color w:val="2C2C2C"/>
          <w:sz w:val="22"/>
          <w:szCs w:val="22"/>
        </w:rPr>
        <w:t xml:space="preserve">Integrate the new facilities into existing engine OEM supply chains through partnership agreements with PBS Aerospace, UAV Turbines, Anduril, Kratos, Williams International, and the primes that supply Replicator platforms. Formalize partnership terms in Phase One. Owner. Facility operator and engine OEM stakeholders.</w:t>
      </w:r>
    </w:p>
    <w:p>
      <w:pPr>
        <w:pStyle w:val="ListParagraph"/>
        <w:numPr>
          <w:ilvl w:val="0"/>
          <w:numId w:val="10"/>
        </w:numPr>
        <w:spacing w:after="40" w:before="40" w:line="280"/>
      </w:pPr>
      <w:r>
        <w:rPr>
          <w:rFonts w:ascii="Calibri" w:cs="Calibri" w:eastAsia="Calibri" w:hAnsi="Calibri"/>
          <w:color w:val="2C2C2C"/>
          <w:sz w:val="22"/>
          <w:szCs w:val="22"/>
        </w:rPr>
        <w:t xml:space="preserve">Pair the facility build with expansion of the domestic ceramic shell material supply chain, hot isostatic pressing capacity, and vacuum induction melted nickel superalloy ingot production to eliminate upstream and downstream bottlenecks that would otherwise constrain facility output. Owner. OUSD R and E in coordination with the Department of Commerce and the Defense Production Act Title III program office.</w:t>
      </w:r>
    </w:p>
    <w:p>
      <w:pPr>
        <w:spacing w:after="20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B2A4A" w:sz="4"/>
              <w:left w:val="single" w:color="1B2A4A" w:sz="24"/>
              <w:bottom w:val="single" w:color="1B2A4A" w:sz="4"/>
              <w:right w:val="single" w:color="1B2A4A" w:sz="4"/>
            </w:tcBorders>
            <w:shd w:fill="D5E8F0" w:val="clear"/>
            <w:tcMar>
              <w:top w:type="dxa" w:w="180"/>
              <w:left w:type="dxa" w:w="240"/>
              <w:bottom w:type="dxa" w:w="180"/>
              <w:right w:type="dxa" w:w="240"/>
            </w:tcMar>
          </w:tcPr>
          <w:p>
            <w:pPr>
              <w:spacing w:after="80" w:before="80"/>
            </w:pPr>
            <w:r>
              <w:rPr>
                <w:rFonts w:ascii="Calibri" w:cs="Calibri" w:eastAsia="Calibri" w:hAnsi="Calibri"/>
                <w:b/>
                <w:bCs/>
                <w:color w:val="1B2A4A"/>
                <w:sz w:val="22"/>
                <w:szCs w:val="22"/>
              </w:rPr>
              <w:t xml:space="preserve">THE STRATEGIC MOMENT</w:t>
            </w:r>
          </w:p>
          <w:p>
            <w:pPr>
              <w:spacing w:after="40" w:before="40" w:line="280"/>
            </w:pPr>
            <w:r>
              <w:rPr>
                <w:rFonts w:ascii="Calibri" w:cs="Calibri" w:eastAsia="Calibri" w:hAnsi="Calibri"/>
                <w:b/>
                <w:bCs/>
                <w:i/>
                <w:iCs/>
                <w:color w:val="1B2A4A"/>
                <w:sz w:val="21"/>
                <w:szCs w:val="21"/>
              </w:rPr>
              <w:t xml:space="preserve">The nation that masters attritable propulsion manufacturing will define the character of autonomous warfare for the next-generation. </w:t>
            </w:r>
          </w:p>
          <w:p>
            <w:pPr>
              <w:spacing w:after="40" w:before="40" w:line="280"/>
            </w:pPr>
            <w:r>
              <w:rPr>
                <w:rFonts w:ascii="Calibri" w:cs="Calibri" w:eastAsia="Calibri" w:hAnsi="Calibri"/>
                <w:b w:val="false"/>
                <w:bCs w:val="false"/>
                <w:i w:val="false"/>
                <w:iCs w:val="false"/>
                <w:color w:val="2C2C2C"/>
                <w:sz w:val="21"/>
                <w:szCs w:val="21"/>
              </w:rPr>
              <w:t xml:space="preserve"/>
            </w:r>
          </w:p>
          <w:p>
            <w:pPr>
              <w:spacing w:after="40" w:before="40" w:line="280"/>
            </w:pPr>
            <w:r>
              <w:rPr>
                <w:rFonts w:ascii="Calibri" w:cs="Calibri" w:eastAsia="Calibri" w:hAnsi="Calibri"/>
                <w:b w:val="false"/>
                <w:bCs w:val="false"/>
                <w:i w:val="false"/>
                <w:iCs w:val="false"/>
                <w:color w:val="2C2C2C"/>
                <w:sz w:val="21"/>
                <w:szCs w:val="21"/>
              </w:rPr>
              <w:t xml:space="preserve">The United States has the technology. It has the demand signal. It has the authorities. What remains is the decision to act, decisively, in the late fiscal year 2026 through fiscal year 2027 obligation window. DDM Systems stands ready to engage with any stakeholder, in any role, who shares this analysis and is prepared to move.</w:t>
            </w:r>
          </w:p>
        </w:tc>
      </w:tr>
    </w:tbl>
    <w:p>
      <w:pPr>
        <w:spacing w:after="240" w:before="0"/>
      </w:pPr>
      <w:r>
        <w:t xml:space="preserve"/>
      </w:r>
    </w:p>
    <w:p>
      <w:pPr>
        <w:pStyle w:val="Heading2"/>
        <w:spacing w:after="140" w:before="300" w:line="300"/>
      </w:pPr>
      <w:r>
        <w:rPr>
          <w:rFonts w:ascii="Calibri" w:cs="Calibri" w:eastAsia="Calibri" w:hAnsi="Calibri"/>
          <w:b/>
          <w:bCs/>
          <w:color w:val="1B2A4A"/>
          <w:sz w:val="28"/>
          <w:szCs w:val="28"/>
        </w:rPr>
        <w:t xml:space="preserve">Contact</w:t>
      </w:r>
    </w:p>
    <w:p>
      <w:pPr>
        <w:spacing w:after="120" w:before="60" w:line="300"/>
        <w:jc w:val="both"/>
      </w:pPr>
      <w:r>
        <w:rPr>
          <w:rFonts w:ascii="Calibri" w:cs="Calibri" w:eastAsia="Calibri" w:hAnsi="Calibri"/>
          <w:b w:val="false"/>
          <w:bCs w:val="false"/>
          <w:i w:val="false"/>
          <w:iCs w:val="false"/>
          <w:color w:val="2C2C2C"/>
          <w:sz w:val="22"/>
          <w:szCs w:val="22"/>
        </w:rPr>
        <w:t xml:space="preserve">DDM Systems welcomes dialogue with any stakeholder engaged in the propulsion industrial base for attritable autonomy, including but not limited to Department of Defense program offices, the Defense Innovation Unit, military service components, engine original equipment manufacturers, platform primes, defense focused investment firms, research institutions, and policy organizations.</w:t>
      </w:r>
    </w:p>
    <w:p>
      <w:pPr>
        <w:spacing w:after="120" w:before="60" w:line="300"/>
        <w:jc w:val="both"/>
      </w:pPr>
      <w:r>
        <w:rPr>
          <w:rFonts w:ascii="Calibri" w:cs="Calibri" w:eastAsia="Calibri" w:hAnsi="Calibri"/>
          <w:b w:val="false"/>
          <w:bCs w:val="false"/>
          <w:i w:val="false"/>
          <w:iCs w:val="false"/>
          <w:color w:val="2C2C2C"/>
          <w:sz w:val="22"/>
          <w:szCs w:val="22"/>
        </w:rPr>
        <w:t xml:space="preserve">For substantive engagement on the analysis in this white paper, facility program scoping, partnership discussions, or technical deep dives on LAMP™, DirectPour™, and SLE™ capabilities, please contact:</w:t>
      </w:r>
    </w:p>
    <w:p>
      <w:pPr>
        <w:spacing w:after="12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rPr>
          <w:cantSplit/>
        </w:trPr>
        <w:tc>
          <w:tcPr>
            <w:tcW w:type="dxa" w:w="9360"/>
            <w:tcBorders>
              <w:top w:val="single" w:color="1B2A4A" w:sz="4"/>
              <w:left w:val="single" w:color="1B2A4A" w:sz="24"/>
              <w:bottom w:val="single" w:color="1B2A4A" w:sz="4"/>
              <w:right w:val="single" w:color="1B2A4A" w:sz="4"/>
            </w:tcBorders>
            <w:shd w:fill="EBF2F7" w:val="clear"/>
            <w:tcMar>
              <w:top w:type="dxa" w:w="180"/>
              <w:left w:type="dxa" w:w="240"/>
              <w:bottom w:type="dxa" w:w="180"/>
              <w:right w:type="dxa" w:w="240"/>
            </w:tcMar>
          </w:tcPr>
          <w:p>
            <w:pPr>
              <w:spacing w:after="40" w:before="40" w:line="280"/>
            </w:pPr>
            <w:r>
              <w:rPr>
                <w:rFonts w:ascii="Calibri" w:cs="Calibri" w:eastAsia="Calibri" w:hAnsi="Calibri"/>
                <w:b/>
                <w:bCs/>
                <w:i w:val="false"/>
                <w:iCs w:val="false"/>
                <w:color w:val="1B2A4A"/>
                <w:sz w:val="21"/>
                <w:szCs w:val="21"/>
              </w:rPr>
              <w:t xml:space="preserve">Dr. Suman Das, Founder and CEO</w:t>
            </w:r>
          </w:p>
          <w:p>
            <w:pPr>
              <w:spacing w:after="40" w:before="40" w:line="280"/>
            </w:pPr>
            <w:r>
              <w:rPr>
                <w:rFonts w:ascii="Calibri" w:cs="Calibri" w:eastAsia="Calibri" w:hAnsi="Calibri"/>
                <w:b w:val="false"/>
                <w:bCs w:val="false"/>
                <w:i w:val="false"/>
                <w:iCs w:val="false"/>
                <w:color w:val="2C2C2C"/>
                <w:sz w:val="21"/>
                <w:szCs w:val="21"/>
              </w:rPr>
              <w:t xml:space="preserve">DDM Systems, Inc.</w:t>
            </w:r>
          </w:p>
          <w:p>
            <w:pPr>
              <w:spacing w:after="40" w:before="40" w:line="280"/>
            </w:pPr>
            <w:r>
              <w:rPr>
                <w:rFonts w:ascii="Calibri" w:cs="Calibri" w:eastAsia="Calibri" w:hAnsi="Calibri"/>
                <w:b w:val="false"/>
                <w:bCs w:val="false"/>
                <w:i w:val="false"/>
                <w:iCs w:val="false"/>
                <w:color w:val="2C2C2C"/>
                <w:sz w:val="21"/>
                <w:szCs w:val="21"/>
              </w:rPr>
              <w:t xml:space="preserve">1876 Defoor Avenue NW, Suite 3, Atlanta, GA 30318</w:t>
            </w:r>
          </w:p>
          <w:p>
            <w:pPr>
              <w:spacing w:after="40" w:before="40" w:line="280"/>
            </w:pPr>
            <w:r>
              <w:rPr>
                <w:rFonts w:ascii="Calibri" w:cs="Calibri" w:eastAsia="Calibri" w:hAnsi="Calibri"/>
                <w:b w:val="false"/>
                <w:bCs w:val="false"/>
                <w:i w:val="false"/>
                <w:iCs w:val="false"/>
                <w:color w:val="2C2C2C"/>
                <w:sz w:val="21"/>
                <w:szCs w:val="21"/>
              </w:rPr>
              <w:t xml:space="preserve"/>
            </w:r>
          </w:p>
          <w:p>
            <w:pPr>
              <w:spacing w:after="40" w:before="40" w:line="280"/>
            </w:pPr>
            <w:r>
              <w:rPr>
                <w:rFonts w:ascii="Calibri" w:cs="Calibri" w:eastAsia="Calibri" w:hAnsi="Calibri"/>
                <w:b/>
                <w:bCs/>
                <w:i w:val="false"/>
                <w:iCs w:val="false"/>
                <w:color w:val="1B2A4A"/>
                <w:sz w:val="21"/>
                <w:szCs w:val="21"/>
              </w:rPr>
              <w:t xml:space="preserve">Direct line. </w:t>
            </w:r>
            <w:r>
              <w:rPr>
                <w:rFonts w:ascii="Calibri" w:cs="Calibri" w:eastAsia="Calibri" w:hAnsi="Calibri"/>
                <w:b w:val="false"/>
                <w:bCs w:val="false"/>
                <w:i w:val="false"/>
                <w:iCs w:val="false"/>
                <w:color w:val="2C2C2C"/>
                <w:sz w:val="21"/>
                <w:szCs w:val="21"/>
              </w:rPr>
              <w:t xml:space="preserve">+1 404 983 4292</w:t>
            </w:r>
          </w:p>
          <w:p>
            <w:pPr>
              <w:spacing w:after="40" w:before="40" w:line="280"/>
            </w:pPr>
            <w:r>
              <w:rPr>
                <w:rFonts w:ascii="Calibri" w:cs="Calibri" w:eastAsia="Calibri" w:hAnsi="Calibri"/>
                <w:b/>
                <w:bCs/>
                <w:i w:val="false"/>
                <w:iCs w:val="false"/>
                <w:color w:val="1B2A4A"/>
                <w:sz w:val="21"/>
                <w:szCs w:val="21"/>
              </w:rPr>
              <w:t xml:space="preserve">Office. </w:t>
            </w:r>
            <w:r>
              <w:rPr>
                <w:rFonts w:ascii="Calibri" w:cs="Calibri" w:eastAsia="Calibri" w:hAnsi="Calibri"/>
                <w:b w:val="false"/>
                <w:bCs w:val="false"/>
                <w:i w:val="false"/>
                <w:iCs w:val="false"/>
                <w:color w:val="2C2C2C"/>
                <w:sz w:val="21"/>
                <w:szCs w:val="21"/>
              </w:rPr>
              <w:t xml:space="preserve">+1 470 225 6987</w:t>
            </w:r>
          </w:p>
          <w:p>
            <w:pPr>
              <w:spacing w:after="40" w:before="40" w:line="280"/>
            </w:pPr>
            <w:r>
              <w:rPr>
                <w:rFonts w:ascii="Calibri" w:cs="Calibri" w:eastAsia="Calibri" w:hAnsi="Calibri"/>
                <w:b/>
                <w:bCs/>
                <w:i w:val="false"/>
                <w:iCs w:val="false"/>
                <w:color w:val="1B2A4A"/>
                <w:sz w:val="21"/>
                <w:szCs w:val="21"/>
              </w:rPr>
              <w:t xml:space="preserve">Email. </w:t>
            </w:r>
            <w:r>
              <w:rPr>
                <w:rFonts w:ascii="Calibri" w:cs="Calibri" w:eastAsia="Calibri" w:hAnsi="Calibri"/>
                <w:b w:val="false"/>
                <w:bCs w:val="false"/>
                <w:i w:val="false"/>
                <w:iCs w:val="false"/>
                <w:color w:val="2C2C2C"/>
                <w:sz w:val="21"/>
                <w:szCs w:val="21"/>
              </w:rPr>
              <w:t xml:space="preserve">suman.das@ddmsys.com</w:t>
            </w:r>
          </w:p>
          <w:p>
            <w:pPr>
              <w:spacing w:after="40" w:before="40" w:line="280"/>
            </w:pPr>
            <w:r>
              <w:rPr>
                <w:rFonts w:ascii="Calibri" w:cs="Calibri" w:eastAsia="Calibri" w:hAnsi="Calibri"/>
                <w:b/>
                <w:bCs/>
                <w:i w:val="false"/>
                <w:iCs w:val="false"/>
                <w:color w:val="1B2A4A"/>
                <w:sz w:val="21"/>
                <w:szCs w:val="21"/>
              </w:rPr>
              <w:t xml:space="preserve">Website. </w:t>
            </w:r>
            <w:r>
              <w:rPr>
                <w:rFonts w:ascii="Calibri" w:cs="Calibri" w:eastAsia="Calibri" w:hAnsi="Calibri"/>
                <w:b w:val="false"/>
                <w:bCs w:val="false"/>
                <w:i w:val="false"/>
                <w:iCs w:val="false"/>
                <w:color w:val="2C2C2C"/>
                <w:sz w:val="21"/>
                <w:szCs w:val="21"/>
              </w:rPr>
              <w:t xml:space="preserve">www.RapidPrecisionCastings.com</w:t>
            </w:r>
          </w:p>
        </w:tc>
      </w:tr>
    </w:tbl>
    <w:p>
      <w:pPr>
        <w:pageBreakBefore/>
        <w:spacing w:after="60" w:before="200"/>
      </w:pPr>
      <w:r>
        <w:rPr>
          <w:rFonts w:ascii="Calibri" w:cs="Calibri" w:eastAsia="Calibri" w:hAnsi="Calibri"/>
          <w:b/>
          <w:bCs/>
          <w:color w:val="2E5C8A"/>
          <w:sz w:val="18"/>
          <w:szCs w:val="18"/>
        </w:rPr>
        <w:t xml:space="preserve">APPENDIX A</w:t>
      </w:r>
    </w:p>
    <w:p>
      <w:pPr>
        <w:pStyle w:val="Heading1"/>
        <w:spacing w:after="200" w:before="400" w:line="300"/>
      </w:pPr>
      <w:r>
        <w:rPr>
          <w:rFonts w:ascii="Calibri" w:cs="Calibri" w:eastAsia="Calibri" w:hAnsi="Calibri"/>
          <w:b/>
          <w:bCs/>
          <w:color w:val="1B2A4A"/>
          <w:sz w:val="36"/>
          <w:szCs w:val="36"/>
        </w:rPr>
        <w:t xml:space="preserve">Technical References</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The analysis in this white paper draws on a combination of public Department of Defense announcements, academic and trade press reporting on the Replicator initiative, published technical literature on nickel superalloys and investment casting, and original DDM Systems technical documentation. References are grouped by category below.</w:t>
      </w:r>
    </w:p>
    <w:p>
      <w:pPr>
        <w:pStyle w:val="Heading2"/>
        <w:spacing w:after="140" w:before="300" w:line="300"/>
      </w:pPr>
      <w:r>
        <w:rPr>
          <w:rFonts w:ascii="Calibri" w:cs="Calibri" w:eastAsia="Calibri" w:hAnsi="Calibri"/>
          <w:b/>
          <w:bCs/>
          <w:color w:val="1B2A4A"/>
          <w:sz w:val="28"/>
          <w:szCs w:val="28"/>
        </w:rPr>
        <w:t xml:space="preserve">A.1 Department of Defense Replicator Program References</w:t>
      </w:r>
    </w:p>
    <w:p>
      <w:pPr>
        <w:spacing w:after="80" w:before="80" w:line="280"/>
        <w:ind w:left="500" w:hanging="500"/>
      </w:pPr>
      <w:r>
        <w:rPr>
          <w:rFonts w:ascii="Calibri" w:cs="Calibri" w:eastAsia="Calibri" w:hAnsi="Calibri"/>
          <w:b/>
          <w:bCs/>
          <w:color w:val="1B2A4A"/>
          <w:sz w:val="21"/>
          <w:szCs w:val="21"/>
        </w:rPr>
        <w:t xml:space="preserve">1.</w:t>
      </w:r>
      <w:r>
        <w:rPr>
          <w:rFonts w:ascii="Calibri" w:cs="Calibri" w:eastAsia="Calibri" w:hAnsi="Calibri"/>
          <w:color w:val="2C2C2C"/>
          <w:sz w:val="21"/>
          <w:szCs w:val="21"/>
        </w:rPr>
        <w:t xml:space="preserve">   Hicks, Kathleen. Replicator initiative announcement. Keynote address, Association of the United States Army annual meeting, Washington DC, August 28, 2023.</w:t>
      </w:r>
    </w:p>
    <w:p>
      <w:pPr>
        <w:spacing w:after="80" w:before="80" w:line="280"/>
        <w:ind w:left="500" w:hanging="500"/>
      </w:pPr>
      <w:r>
        <w:rPr>
          <w:rFonts w:ascii="Calibri" w:cs="Calibri" w:eastAsia="Calibri" w:hAnsi="Calibri"/>
          <w:b/>
          <w:bCs/>
          <w:color w:val="1B2A4A"/>
          <w:sz w:val="21"/>
          <w:szCs w:val="21"/>
        </w:rPr>
        <w:t xml:space="preserve">2.</w:t>
      </w:r>
      <w:r>
        <w:rPr>
          <w:rFonts w:ascii="Calibri" w:cs="Calibri" w:eastAsia="Calibri" w:hAnsi="Calibri"/>
          <w:color w:val="2C2C2C"/>
          <w:sz w:val="21"/>
          <w:szCs w:val="21"/>
        </w:rPr>
        <w:t xml:space="preserve">   Department of Defense. Replicator funding obligations and tranche structure, fiscal years 2024 and 2025. Public reporting aggregated from congressional testimony and Department of Defense press briefings.</w:t>
      </w:r>
    </w:p>
    <w:p>
      <w:pPr>
        <w:spacing w:after="80" w:before="80" w:line="280"/>
        <w:ind w:left="500" w:hanging="500"/>
      </w:pPr>
      <w:r>
        <w:rPr>
          <w:rFonts w:ascii="Calibri" w:cs="Calibri" w:eastAsia="Calibri" w:hAnsi="Calibri"/>
          <w:b/>
          <w:bCs/>
          <w:color w:val="1B2A4A"/>
          <w:sz w:val="21"/>
          <w:szCs w:val="21"/>
        </w:rPr>
        <w:t xml:space="preserve">3.</w:t>
      </w:r>
      <w:r>
        <w:rPr>
          <w:rFonts w:ascii="Calibri" w:cs="Calibri" w:eastAsia="Calibri" w:hAnsi="Calibri"/>
          <w:color w:val="2C2C2C"/>
          <w:sz w:val="21"/>
          <w:szCs w:val="21"/>
        </w:rPr>
        <w:t xml:space="preserve">   Austin, Lloyd J. Secretary of Defense memorandum announcing Replicator 2 for counter small unmanned aircraft systems. September 2024.</w:t>
      </w:r>
    </w:p>
    <w:p>
      <w:pPr>
        <w:spacing w:after="80" w:before="80" w:line="280"/>
        <w:ind w:left="500" w:hanging="500"/>
      </w:pPr>
      <w:r>
        <w:rPr>
          <w:rFonts w:ascii="Calibri" w:cs="Calibri" w:eastAsia="Calibri" w:hAnsi="Calibri"/>
          <w:b/>
          <w:bCs/>
          <w:color w:val="1B2A4A"/>
          <w:sz w:val="21"/>
          <w:szCs w:val="21"/>
        </w:rPr>
        <w:t xml:space="preserve">4.</w:t>
      </w:r>
      <w:r>
        <w:rPr>
          <w:rFonts w:ascii="Calibri" w:cs="Calibri" w:eastAsia="Calibri" w:hAnsi="Calibri"/>
          <w:color w:val="2C2C2C"/>
          <w:sz w:val="21"/>
          <w:szCs w:val="21"/>
        </w:rPr>
        <w:t xml:space="preserve">   Joint Interagency Task Force 401. Consolidation of counter small unmanned aircraft systems acquisition authority, public reporting, August 2025.</w:t>
      </w:r>
    </w:p>
    <w:p>
      <w:pPr>
        <w:spacing w:after="80" w:before="80" w:line="280"/>
        <w:ind w:left="500" w:hanging="500"/>
      </w:pPr>
      <w:r>
        <w:rPr>
          <w:rFonts w:ascii="Calibri" w:cs="Calibri" w:eastAsia="Calibri" w:hAnsi="Calibri"/>
          <w:b/>
          <w:bCs/>
          <w:color w:val="1B2A4A"/>
          <w:sz w:val="21"/>
          <w:szCs w:val="21"/>
        </w:rPr>
        <w:t xml:space="preserve">5.</w:t>
      </w:r>
      <w:r>
        <w:rPr>
          <w:rFonts w:ascii="Calibri" w:cs="Calibri" w:eastAsia="Calibri" w:hAnsi="Calibri"/>
          <w:color w:val="2C2C2C"/>
          <w:sz w:val="21"/>
          <w:szCs w:val="21"/>
        </w:rPr>
        <w:t xml:space="preserve">   Defense Innovation Unit. Replicator program office and Other Transaction Agreement contracting authorities. Public program descriptions, 2024 through 2026.</w:t>
      </w:r>
    </w:p>
    <w:p>
      <w:pPr>
        <w:spacing w:after="80" w:before="80" w:line="280"/>
        <w:ind w:left="500" w:hanging="500"/>
      </w:pPr>
      <w:r>
        <w:rPr>
          <w:rFonts w:ascii="Calibri" w:cs="Calibri" w:eastAsia="Calibri" w:hAnsi="Calibri"/>
          <w:b/>
          <w:bCs/>
          <w:color w:val="1B2A4A"/>
          <w:sz w:val="21"/>
          <w:szCs w:val="21"/>
        </w:rPr>
        <w:t xml:space="preserve">6.</w:t>
      </w:r>
      <w:r>
        <w:rPr>
          <w:rFonts w:ascii="Calibri" w:cs="Calibri" w:eastAsia="Calibri" w:hAnsi="Calibri"/>
          <w:color w:val="2C2C2C"/>
          <w:sz w:val="21"/>
          <w:szCs w:val="21"/>
        </w:rPr>
        <w:t xml:space="preserve">   Fortem Technologies. DroneHunter F700 contract award announcement under Replicator 2 authority, January 2026.</w:t>
      </w:r>
    </w:p>
    <w:p>
      <w:pPr>
        <w:pStyle w:val="Heading2"/>
        <w:spacing w:after="140" w:before="300" w:line="300"/>
      </w:pPr>
      <w:r>
        <w:rPr>
          <w:rFonts w:ascii="Calibri" w:cs="Calibri" w:eastAsia="Calibri" w:hAnsi="Calibri"/>
          <w:b/>
          <w:bCs/>
          <w:color w:val="1B2A4A"/>
          <w:sz w:val="28"/>
          <w:szCs w:val="28"/>
        </w:rPr>
        <w:t xml:space="preserve">A.2 Nickel Superalloy and Investment Casting Technical References</w:t>
      </w:r>
    </w:p>
    <w:p>
      <w:pPr>
        <w:spacing w:after="80" w:before="80" w:line="280"/>
        <w:ind w:left="500" w:hanging="500"/>
      </w:pPr>
      <w:r>
        <w:rPr>
          <w:rFonts w:ascii="Calibri" w:cs="Calibri" w:eastAsia="Calibri" w:hAnsi="Calibri"/>
          <w:b/>
          <w:bCs/>
          <w:color w:val="1B2A4A"/>
          <w:sz w:val="21"/>
          <w:szCs w:val="21"/>
        </w:rPr>
        <w:t xml:space="preserve">7.</w:t>
      </w:r>
      <w:r>
        <w:rPr>
          <w:rFonts w:ascii="Calibri" w:cs="Calibri" w:eastAsia="Calibri" w:hAnsi="Calibri"/>
          <w:color w:val="2C2C2C"/>
          <w:sz w:val="21"/>
          <w:szCs w:val="21"/>
        </w:rPr>
        <w:t xml:space="preserve">   Reed, Roger C. The Superalloys. Fundamentals and Applications. Cambridge University Press, 2006. Foundational reference on nickel-base superalloys including MAR-M247.</w:t>
      </w:r>
    </w:p>
    <w:p>
      <w:pPr>
        <w:spacing w:after="80" w:before="80" w:line="280"/>
        <w:ind w:left="500" w:hanging="500"/>
      </w:pPr>
      <w:r>
        <w:rPr>
          <w:rFonts w:ascii="Calibri" w:cs="Calibri" w:eastAsia="Calibri" w:hAnsi="Calibri"/>
          <w:b/>
          <w:bCs/>
          <w:color w:val="1B2A4A"/>
          <w:sz w:val="21"/>
          <w:szCs w:val="21"/>
        </w:rPr>
        <w:t xml:space="preserve">8.</w:t>
      </w:r>
      <w:r>
        <w:rPr>
          <w:rFonts w:ascii="Calibri" w:cs="Calibri" w:eastAsia="Calibri" w:hAnsi="Calibri"/>
          <w:color w:val="2C2C2C"/>
          <w:sz w:val="21"/>
          <w:szCs w:val="21"/>
        </w:rPr>
        <w:t xml:space="preserve">   Donachie, Matthew J., and Stephen J. Donachie. Superalloys. A Technical Guide. Second Edition. ASM International, 2002.</w:t>
      </w:r>
    </w:p>
    <w:p>
      <w:pPr>
        <w:spacing w:after="80" w:before="80" w:line="280"/>
        <w:ind w:left="500" w:hanging="500"/>
      </w:pPr>
      <w:r>
        <w:rPr>
          <w:rFonts w:ascii="Calibri" w:cs="Calibri" w:eastAsia="Calibri" w:hAnsi="Calibri"/>
          <w:b/>
          <w:bCs/>
          <w:color w:val="1B2A4A"/>
          <w:sz w:val="21"/>
          <w:szCs w:val="21"/>
        </w:rPr>
        <w:t xml:space="preserve">9.</w:t>
      </w:r>
      <w:r>
        <w:rPr>
          <w:rFonts w:ascii="Calibri" w:cs="Calibri" w:eastAsia="Calibri" w:hAnsi="Calibri"/>
          <w:color w:val="2C2C2C"/>
          <w:sz w:val="21"/>
          <w:szCs w:val="21"/>
        </w:rPr>
        <w:t xml:space="preserve">   ASM International. Metals Handbook, Volume 15. Casting. ASM International, 2008. Reference for investment casting process and nickel superalloy foundry practice.</w:t>
      </w:r>
    </w:p>
    <w:p>
      <w:pPr>
        <w:spacing w:after="80" w:before="80" w:line="280"/>
        <w:ind w:left="500" w:hanging="500"/>
      </w:pPr>
      <w:r>
        <w:rPr>
          <w:rFonts w:ascii="Calibri" w:cs="Calibri" w:eastAsia="Calibri" w:hAnsi="Calibri"/>
          <w:b/>
          <w:bCs/>
          <w:color w:val="1B2A4A"/>
          <w:sz w:val="21"/>
          <w:szCs w:val="21"/>
        </w:rPr>
        <w:t xml:space="preserve">10.</w:t>
      </w:r>
      <w:r>
        <w:rPr>
          <w:rFonts w:ascii="Calibri" w:cs="Calibri" w:eastAsia="Calibri" w:hAnsi="Calibri"/>
          <w:color w:val="2C2C2C"/>
          <w:sz w:val="21"/>
          <w:szCs w:val="21"/>
        </w:rPr>
        <w:t xml:space="preserve">   Investment Casting Institute. ICI acceptability criteria and standards for investment cast components. Current published standards, 2024 edition and subsequent updates.</w:t>
      </w:r>
    </w:p>
    <w:p>
      <w:pPr>
        <w:spacing w:after="80" w:before="80" w:line="280"/>
        <w:ind w:left="500" w:hanging="500"/>
      </w:pPr>
      <w:r>
        <w:rPr>
          <w:rFonts w:ascii="Calibri" w:cs="Calibri" w:eastAsia="Calibri" w:hAnsi="Calibri"/>
          <w:b/>
          <w:bCs/>
          <w:color w:val="1B2A4A"/>
          <w:sz w:val="21"/>
          <w:szCs w:val="21"/>
        </w:rPr>
        <w:t xml:space="preserve">11.</w:t>
      </w:r>
      <w:r>
        <w:rPr>
          <w:rFonts w:ascii="Calibri" w:cs="Calibri" w:eastAsia="Calibri" w:hAnsi="Calibri"/>
          <w:color w:val="2C2C2C"/>
          <w:sz w:val="21"/>
          <w:szCs w:val="21"/>
        </w:rPr>
        <w:t xml:space="preserve">   Various authors. Published mechanical property data for directionally solidified MAR-M247 at elevated temperature. Composite references from commercial alloy supplier data sheets and peer reviewed materials science literature.</w:t>
      </w:r>
    </w:p>
    <w:p>
      <w:pPr>
        <w:pStyle w:val="Heading2"/>
        <w:spacing w:after="140" w:before="300" w:line="300"/>
      </w:pPr>
      <w:r>
        <w:rPr>
          <w:rFonts w:ascii="Calibri" w:cs="Calibri" w:eastAsia="Calibri" w:hAnsi="Calibri"/>
          <w:b/>
          <w:bCs/>
          <w:color w:val="1B2A4A"/>
          <w:sz w:val="28"/>
          <w:szCs w:val="28"/>
        </w:rPr>
        <w:t xml:space="preserve">A.3 DDM Systems Intellectual Property and Patents</w:t>
      </w:r>
    </w:p>
    <w:p>
      <w:pPr>
        <w:spacing w:after="80" w:before="80" w:line="280"/>
        <w:ind w:left="500" w:hanging="500"/>
      </w:pPr>
      <w:r>
        <w:rPr>
          <w:rFonts w:ascii="Calibri" w:cs="Calibri" w:eastAsia="Calibri" w:hAnsi="Calibri"/>
          <w:b/>
          <w:bCs/>
          <w:color w:val="1B2A4A"/>
          <w:sz w:val="21"/>
          <w:szCs w:val="21"/>
        </w:rPr>
        <w:t xml:space="preserve">12.</w:t>
      </w:r>
      <w:r>
        <w:rPr>
          <w:rFonts w:ascii="Calibri" w:cs="Calibri" w:eastAsia="Calibri" w:hAnsi="Calibri"/>
          <w:color w:val="2C2C2C"/>
          <w:sz w:val="21"/>
          <w:szCs w:val="21"/>
        </w:rPr>
        <w:t xml:space="preserve">   United States Patent and Trademark Office. LAMP™ trademark registration number 5530416, filed September 16, 2013, registered July 31, 2018. Full designation, LAMP™ LARGE AREA MASKLESS PHOTOPOLYMERIZATION.</w:t>
      </w:r>
    </w:p>
    <w:p>
      <w:pPr>
        <w:spacing w:after="80" w:before="80" w:line="280"/>
        <w:ind w:left="500" w:hanging="500"/>
      </w:pPr>
      <w:r>
        <w:rPr>
          <w:rFonts w:ascii="Calibri" w:cs="Calibri" w:eastAsia="Calibri" w:hAnsi="Calibri"/>
          <w:b/>
          <w:bCs/>
          <w:color w:val="1B2A4A"/>
          <w:sz w:val="21"/>
          <w:szCs w:val="21"/>
        </w:rPr>
        <w:t xml:space="preserve">13.</w:t>
      </w:r>
      <w:r>
        <w:rPr>
          <w:rFonts w:ascii="Calibri" w:cs="Calibri" w:eastAsia="Calibri" w:hAnsi="Calibri"/>
          <w:color w:val="2C2C2C"/>
          <w:sz w:val="21"/>
          <w:szCs w:val="21"/>
        </w:rPr>
        <w:t xml:space="preserve">   Das, Suman, and J. J. Beaman. United States Patent 6,676,892 B2. Direct Selective Laser Sintering of Metals. Granted January 13, 2004.</w:t>
      </w:r>
    </w:p>
    <w:p>
      <w:pPr>
        <w:spacing w:after="80" w:before="80" w:line="280"/>
        <w:ind w:left="500" w:hanging="500"/>
      </w:pPr>
      <w:r>
        <w:rPr>
          <w:rFonts w:ascii="Calibri" w:cs="Calibri" w:eastAsia="Calibri" w:hAnsi="Calibri"/>
          <w:b/>
          <w:bCs/>
          <w:color w:val="1B2A4A"/>
          <w:sz w:val="21"/>
          <w:szCs w:val="21"/>
        </w:rPr>
        <w:t xml:space="preserve">14.</w:t>
      </w:r>
      <w:r>
        <w:rPr>
          <w:rFonts w:ascii="Calibri" w:cs="Calibri" w:eastAsia="Calibri" w:hAnsi="Calibri"/>
          <w:color w:val="2C2C2C"/>
          <w:sz w:val="21"/>
          <w:szCs w:val="21"/>
        </w:rPr>
        <w:t xml:space="preserve">   Das, Suman, et al. United States Patent 6,355,086. Method and Apparatus for Making Components by Direct Laser Processing. Granted March 12, 2002.</w:t>
      </w:r>
    </w:p>
    <w:p>
      <w:pPr>
        <w:spacing w:after="80" w:before="80" w:line="280"/>
        <w:ind w:left="500" w:hanging="500"/>
      </w:pPr>
      <w:r>
        <w:rPr>
          <w:rFonts w:ascii="Calibri" w:cs="Calibri" w:eastAsia="Calibri" w:hAnsi="Calibri"/>
          <w:b/>
          <w:bCs/>
          <w:color w:val="1B2A4A"/>
          <w:sz w:val="21"/>
          <w:szCs w:val="21"/>
        </w:rPr>
        <w:t xml:space="preserve">15.</w:t>
      </w:r>
      <w:r>
        <w:rPr>
          <w:rFonts w:ascii="Calibri" w:cs="Calibri" w:eastAsia="Calibri" w:hAnsi="Calibri"/>
          <w:color w:val="2C2C2C"/>
          <w:sz w:val="21"/>
          <w:szCs w:val="21"/>
        </w:rPr>
        <w:t xml:space="preserve">   DDM Systems, Inc. Portfolio of more than twenty six patents across six countries covering LAMP™, DirectPour™, SLE™, and related methods. Complete patent portfolio available under appropriate confidentiality agreements.</w:t>
      </w:r>
    </w:p>
    <w:p>
      <w:pPr>
        <w:pStyle w:val="Heading2"/>
        <w:spacing w:after="140" w:before="300" w:line="300"/>
      </w:pPr>
      <w:r>
        <w:rPr>
          <w:rFonts w:ascii="Calibri" w:cs="Calibri" w:eastAsia="Calibri" w:hAnsi="Calibri"/>
          <w:b/>
          <w:bCs/>
          <w:color w:val="1B2A4A"/>
          <w:sz w:val="28"/>
          <w:szCs w:val="28"/>
        </w:rPr>
        <w:t xml:space="preserve">A.4 Federal and Research Collaboration References</w:t>
      </w:r>
    </w:p>
    <w:p>
      <w:pPr>
        <w:spacing w:after="80" w:before="80" w:line="280"/>
        <w:ind w:left="500" w:hanging="500"/>
      </w:pPr>
      <w:r>
        <w:rPr>
          <w:rFonts w:ascii="Calibri" w:cs="Calibri" w:eastAsia="Calibri" w:hAnsi="Calibri"/>
          <w:b/>
          <w:bCs/>
          <w:color w:val="1B2A4A"/>
          <w:sz w:val="21"/>
          <w:szCs w:val="21"/>
        </w:rPr>
        <w:t xml:space="preserve">16.</w:t>
      </w:r>
      <w:r>
        <w:rPr>
          <w:rFonts w:ascii="Calibri" w:cs="Calibri" w:eastAsia="Calibri" w:hAnsi="Calibri"/>
          <w:color w:val="2C2C2C"/>
          <w:sz w:val="21"/>
          <w:szCs w:val="21"/>
        </w:rPr>
        <w:t xml:space="preserve">   DARPA. Disruptive Manufacturing Technologies program. 2006 through 2012. Original funding source for LAMP™ development at Georgia Tech.</w:t>
      </w:r>
    </w:p>
    <w:p>
      <w:pPr>
        <w:spacing w:after="80" w:before="80" w:line="280"/>
        <w:ind w:left="500" w:hanging="500"/>
      </w:pPr>
      <w:r>
        <w:rPr>
          <w:rFonts w:ascii="Calibri" w:cs="Calibri" w:eastAsia="Calibri" w:hAnsi="Calibri"/>
          <w:b/>
          <w:bCs/>
          <w:color w:val="1B2A4A"/>
          <w:sz w:val="21"/>
          <w:szCs w:val="21"/>
        </w:rPr>
        <w:t xml:space="preserve">17.</w:t>
      </w:r>
      <w:r>
        <w:rPr>
          <w:rFonts w:ascii="Calibri" w:cs="Calibri" w:eastAsia="Calibri" w:hAnsi="Calibri"/>
          <w:color w:val="2C2C2C"/>
          <w:sz w:val="21"/>
          <w:szCs w:val="21"/>
        </w:rPr>
        <w:t xml:space="preserve">   ARPA-E. OPEN 2021 program. Award 2022. Manufacturing High-Yield Investment Castings with Minimal Energy. Lead, GE Gas Power. Project demonstrated up to ninety percent energy reduction and yield improvements from forty percent to ninety percent in gas turbine component casting.</w:t>
      </w:r>
    </w:p>
    <w:p>
      <w:pPr>
        <w:spacing w:after="80" w:before="80" w:line="280"/>
        <w:ind w:left="500" w:hanging="500"/>
      </w:pPr>
      <w:r>
        <w:rPr>
          <w:rFonts w:ascii="Calibri" w:cs="Calibri" w:eastAsia="Calibri" w:hAnsi="Calibri"/>
          <w:b/>
          <w:bCs/>
          <w:color w:val="1B2A4A"/>
          <w:sz w:val="21"/>
          <w:szCs w:val="21"/>
        </w:rPr>
        <w:t xml:space="preserve">18.</w:t>
      </w:r>
      <w:r>
        <w:rPr>
          <w:rFonts w:ascii="Calibri" w:cs="Calibri" w:eastAsia="Calibri" w:hAnsi="Calibri"/>
          <w:color w:val="2C2C2C"/>
          <w:sz w:val="21"/>
          <w:szCs w:val="21"/>
        </w:rPr>
        <w:t xml:space="preserve">   Department of Energy. HPC4EI program. 2022. Partnership between DDM Systems, GE, and Oak Ridge National Laboratory for high-performance computing modeling of LAMP™ ceramic photopolymerization process. ORNL investigators include Adrian Sabau and Vimal Ramanuj.</w:t>
      </w:r>
    </w:p>
    <w:p>
      <w:pPr>
        <w:spacing w:after="80" w:before="80" w:line="280"/>
        <w:ind w:left="500" w:hanging="500"/>
      </w:pPr>
      <w:r>
        <w:rPr>
          <w:rFonts w:ascii="Calibri" w:cs="Calibri" w:eastAsia="Calibri" w:hAnsi="Calibri"/>
          <w:b/>
          <w:bCs/>
          <w:color w:val="1B2A4A"/>
          <w:sz w:val="21"/>
          <w:szCs w:val="21"/>
        </w:rPr>
        <w:t xml:space="preserve">19.</w:t>
      </w:r>
      <w:r>
        <w:rPr>
          <w:rFonts w:ascii="Calibri" w:cs="Calibri" w:eastAsia="Calibri" w:hAnsi="Calibri"/>
          <w:color w:val="2C2C2C"/>
          <w:sz w:val="21"/>
          <w:szCs w:val="21"/>
        </w:rPr>
        <w:t xml:space="preserve">   America Makes. IMPACT 1.0 and IMPACT 2.0 programs. 2023 through 2025. Support for Air Force casting capability maturation at 76th CMXG Tinker Air Force Base, with an additional IMPACT 2.0 award for the Rapid Casting Demonstration Challenge in 2025.</w:t>
      </w:r>
    </w:p>
    <w:p>
      <w:pPr>
        <w:pStyle w:val="Heading2"/>
        <w:spacing w:after="140" w:before="300" w:line="300"/>
      </w:pPr>
      <w:r>
        <w:rPr>
          <w:rFonts w:ascii="Calibri" w:cs="Calibri" w:eastAsia="Calibri" w:hAnsi="Calibri"/>
          <w:b/>
          <w:bCs/>
          <w:color w:val="1B2A4A"/>
          <w:sz w:val="28"/>
          <w:szCs w:val="28"/>
        </w:rPr>
        <w:t xml:space="preserve">A.5 DDM Systems Reference Publications</w:t>
      </w:r>
    </w:p>
    <w:p>
      <w:pPr>
        <w:spacing w:after="80" w:before="80" w:line="280"/>
        <w:ind w:left="500" w:hanging="500"/>
      </w:pPr>
      <w:r>
        <w:rPr>
          <w:rFonts w:ascii="Calibri" w:cs="Calibri" w:eastAsia="Calibri" w:hAnsi="Calibri"/>
          <w:b/>
          <w:bCs/>
          <w:color w:val="1B2A4A"/>
          <w:sz w:val="21"/>
          <w:szCs w:val="21"/>
        </w:rPr>
        <w:t xml:space="preserve">20.</w:t>
      </w:r>
      <w:r>
        <w:rPr>
          <w:rFonts w:ascii="Calibri" w:cs="Calibri" w:eastAsia="Calibri" w:hAnsi="Calibri"/>
          <w:color w:val="2C2C2C"/>
          <w:sz w:val="21"/>
          <w:szCs w:val="21"/>
        </w:rPr>
        <w:t xml:space="preserve">   DDM Systems, Inc. Commercial Presentation. Current release. Summarizes LAMP™, DirectPour™, SLE™, and Digital Foundry capability and case studies.</w:t>
      </w:r>
    </w:p>
    <w:p>
      <w:pPr>
        <w:spacing w:after="80" w:before="80" w:line="280"/>
        <w:ind w:left="500" w:hanging="500"/>
      </w:pPr>
      <w:r>
        <w:rPr>
          <w:rFonts w:ascii="Calibri" w:cs="Calibri" w:eastAsia="Calibri" w:hAnsi="Calibri"/>
          <w:b/>
          <w:bCs/>
          <w:color w:val="1B2A4A"/>
          <w:sz w:val="21"/>
          <w:szCs w:val="21"/>
        </w:rPr>
        <w:t xml:space="preserve">21.</w:t>
      </w:r>
      <w:r>
        <w:rPr>
          <w:rFonts w:ascii="Calibri" w:cs="Calibri" w:eastAsia="Calibri" w:hAnsi="Calibri"/>
          <w:color w:val="2C2C2C"/>
          <w:sz w:val="21"/>
          <w:szCs w:val="21"/>
        </w:rPr>
        <w:t xml:space="preserve">   DDM Systems, Inc. Brand Guide and Capability Statement. January 2026. Provides company overview, partnership roster, intellectual property position, and government credentials.</w:t>
      </w:r>
    </w:p>
    <w:p>
      <w:pPr>
        <w:spacing w:after="80" w:before="80" w:line="280"/>
        <w:ind w:left="500" w:hanging="500"/>
      </w:pPr>
      <w:r>
        <w:rPr>
          <w:rFonts w:ascii="Calibri" w:cs="Calibri" w:eastAsia="Calibri" w:hAnsi="Calibri"/>
          <w:b/>
          <w:bCs/>
          <w:color w:val="1B2A4A"/>
          <w:sz w:val="21"/>
          <w:szCs w:val="21"/>
        </w:rPr>
        <w:t xml:space="preserve">22.</w:t>
      </w:r>
      <w:r>
        <w:rPr>
          <w:rFonts w:ascii="Calibri" w:cs="Calibri" w:eastAsia="Calibri" w:hAnsi="Calibri"/>
          <w:color w:val="2C2C2C"/>
          <w:sz w:val="21"/>
          <w:szCs w:val="21"/>
        </w:rPr>
        <w:t xml:space="preserve">   DDM Systems, Inc. Knowledge Base for Ceramic 3D Printing and Investment Casting Technology. 2024 through 2026 editions. Detailed technical reference for LAMP™ specifications, qualified alloy list, case studies, and customer testimonials.</w:t>
      </w:r>
    </w:p>
    <w:p>
      <w:pPr>
        <w:pStyle w:val="Heading2"/>
        <w:spacing w:after="140" w:before="300" w:line="300"/>
      </w:pPr>
      <w:r>
        <w:rPr>
          <w:rFonts w:ascii="Calibri" w:cs="Calibri" w:eastAsia="Calibri" w:hAnsi="Calibri"/>
          <w:b/>
          <w:bCs/>
          <w:color w:val="1B2A4A"/>
          <w:sz w:val="28"/>
          <w:szCs w:val="28"/>
        </w:rPr>
        <w:t xml:space="preserve">A.6 Allied and Partner Industrial Base References</w:t>
      </w:r>
    </w:p>
    <w:p>
      <w:pPr>
        <w:spacing w:after="80" w:before="80" w:line="280"/>
        <w:ind w:left="500" w:hanging="500"/>
      </w:pPr>
      <w:r>
        <w:rPr>
          <w:rFonts w:ascii="Calibri" w:cs="Calibri" w:eastAsia="Calibri" w:hAnsi="Calibri"/>
          <w:b/>
          <w:bCs/>
          <w:color w:val="1B2A4A"/>
          <w:sz w:val="21"/>
          <w:szCs w:val="21"/>
        </w:rPr>
        <w:t xml:space="preserve">23.</w:t>
      </w:r>
      <w:r>
        <w:rPr>
          <w:rFonts w:ascii="Calibri" w:cs="Calibri" w:eastAsia="Calibri" w:hAnsi="Calibri"/>
          <w:color w:val="2C2C2C"/>
          <w:sz w:val="21"/>
          <w:szCs w:val="21"/>
        </w:rPr>
        <w:t xml:space="preserve">   PBS Aerospace a.s. TJ100 turbojet product literature and specifications. Current release.</w:t>
      </w:r>
    </w:p>
    <w:p>
      <w:pPr>
        <w:spacing w:after="80" w:before="80" w:line="280"/>
        <w:ind w:left="500" w:hanging="500"/>
      </w:pPr>
      <w:r>
        <w:rPr>
          <w:rFonts w:ascii="Calibri" w:cs="Calibri" w:eastAsia="Calibri" w:hAnsi="Calibri"/>
          <w:b/>
          <w:bCs/>
          <w:color w:val="1B2A4A"/>
          <w:sz w:val="21"/>
          <w:szCs w:val="21"/>
        </w:rPr>
        <w:t xml:space="preserve">24.</w:t>
      </w:r>
      <w:r>
        <w:rPr>
          <w:rFonts w:ascii="Calibri" w:cs="Calibri" w:eastAsia="Calibri" w:hAnsi="Calibri"/>
          <w:color w:val="2C2C2C"/>
          <w:sz w:val="21"/>
          <w:szCs w:val="21"/>
        </w:rPr>
        <w:t xml:space="preserve">   UAV Turbines, Inc. Monarch turboprop family product literature and specifications. Current release.</w:t>
      </w:r>
    </w:p>
    <w:p>
      <w:pPr>
        <w:spacing w:after="80" w:before="80" w:line="280"/>
        <w:ind w:left="500" w:hanging="500"/>
      </w:pPr>
      <w:r>
        <w:rPr>
          <w:rFonts w:ascii="Calibri" w:cs="Calibri" w:eastAsia="Calibri" w:hAnsi="Calibri"/>
          <w:b/>
          <w:bCs/>
          <w:color w:val="1B2A4A"/>
          <w:sz w:val="21"/>
          <w:szCs w:val="21"/>
        </w:rPr>
        <w:t xml:space="preserve">25.</w:t>
      </w:r>
      <w:r>
        <w:rPr>
          <w:rFonts w:ascii="Calibri" w:cs="Calibri" w:eastAsia="Calibri" w:hAnsi="Calibri"/>
          <w:color w:val="2C2C2C"/>
          <w:sz w:val="21"/>
          <w:szCs w:val="21"/>
        </w:rPr>
        <w:t xml:space="preserve">   Kratos Defense and Security Solutions, Inc. Turbine Technologies division product literature and attritable drone propulsion specifications. Current release.</w:t>
      </w:r>
    </w:p>
    <w:p>
      <w:pPr>
        <w:spacing w:after="80" w:before="80" w:line="280"/>
        <w:ind w:left="500" w:hanging="500"/>
      </w:pPr>
      <w:r>
        <w:rPr>
          <w:rFonts w:ascii="Calibri" w:cs="Calibri" w:eastAsia="Calibri" w:hAnsi="Calibri"/>
          <w:b/>
          <w:bCs/>
          <w:color w:val="1B2A4A"/>
          <w:sz w:val="21"/>
          <w:szCs w:val="21"/>
        </w:rPr>
        <w:t xml:space="preserve">26.</w:t>
      </w:r>
      <w:r>
        <w:rPr>
          <w:rFonts w:ascii="Calibri" w:cs="Calibri" w:eastAsia="Calibri" w:hAnsi="Calibri"/>
          <w:color w:val="2C2C2C"/>
          <w:sz w:val="21"/>
          <w:szCs w:val="21"/>
        </w:rPr>
        <w:t xml:space="preserve">   Various industry research reports on global microturbine aerospace market size and projected growth through 2030. Composite from market research firms including Grand View Research, Market Research Future, and similar published sources.</w:t>
      </w:r>
    </w:p>
    <w:p>
      <w:pPr>
        <w:pStyle w:val="Heading2"/>
        <w:spacing w:after="140" w:before="300" w:line="300"/>
      </w:pPr>
      <w:r>
        <w:rPr>
          <w:rFonts w:ascii="Calibri" w:cs="Calibri" w:eastAsia="Calibri" w:hAnsi="Calibri"/>
          <w:b/>
          <w:bCs/>
          <w:color w:val="1B2A4A"/>
          <w:sz w:val="28"/>
          <w:szCs w:val="28"/>
        </w:rPr>
        <w:t xml:space="preserve">A.7 Notes on Citation Methodology</w:t>
      </w:r>
    </w:p>
    <w:p>
      <w:pPr>
        <w:spacing w:after="120" w:before="60" w:line="300"/>
        <w:jc w:val="both"/>
      </w:pPr>
      <w:r>
        <w:rPr>
          <w:rFonts w:ascii="Calibri" w:cs="Calibri" w:eastAsia="Calibri" w:hAnsi="Calibri"/>
          <w:b w:val="false"/>
          <w:bCs w:val="false"/>
          <w:i w:val="false"/>
          <w:iCs w:val="false"/>
          <w:color w:val="2C2C2C"/>
          <w:sz w:val="22"/>
          <w:szCs w:val="22"/>
        </w:rPr>
        <w:t xml:space="preserve">Several items in this paper are based on public Department of Defense announcements whose specific timelines and program scopes are subject to revision as additional information is released. Where this paper cites dates with specificity, the figure reflects the most recently available public reporting as of April 2026. Where ranges are given, the range reflects the variance in public reporting across credible sources.</w:t>
      </w:r>
    </w:p>
    <w:p>
      <w:pPr>
        <w:spacing w:after="120" w:before="60" w:line="300"/>
        <w:jc w:val="both"/>
      </w:pPr>
      <w:r>
        <w:rPr>
          <w:rFonts w:ascii="Calibri" w:cs="Calibri" w:eastAsia="Calibri" w:hAnsi="Calibri"/>
          <w:b w:val="false"/>
          <w:bCs w:val="false"/>
          <w:i w:val="false"/>
          <w:iCs w:val="false"/>
          <w:color w:val="2C2C2C"/>
          <w:sz w:val="22"/>
          <w:szCs w:val="22"/>
        </w:rPr>
        <w:t xml:space="preserve">Where technical specifications for DDM Systems LAMP™, DirectPour™, and SLE™ capabilities are cited, the figures are drawn from internal DDM Systems technical documentation and from reference customer engagements. Interested parties can obtain additional technical substantiation under appropriate non disclosure agreements.</w:t>
      </w:r>
    </w:p>
    <w:p>
      <w:pPr>
        <w:spacing w:after="120" w:before="60" w:line="300"/>
        <w:jc w:val="both"/>
      </w:pPr>
      <w:r>
        <w:rPr>
          <w:rFonts w:ascii="Calibri" w:cs="Calibri" w:eastAsia="Calibri" w:hAnsi="Calibri"/>
          <w:b w:val="false"/>
          <w:bCs w:val="false"/>
          <w:i w:val="false"/>
          <w:iCs w:val="false"/>
          <w:color w:val="2C2C2C"/>
          <w:sz w:val="22"/>
          <w:szCs w:val="22"/>
        </w:rPr>
        <w:t xml:space="preserve">Where competitor engine specifications are cited, the figures are drawn from publicly available manufacturer product literature. Specific contract volumes, pricing, or program details held under original equipment manufacturer contracts are not cited here and would require direct engagement with the relevant manufacturer.</w:t>
      </w:r>
    </w:p>
    <w:p>
      <w:pPr>
        <w:pageBreakBefore/>
        <w:spacing w:after="60" w:before="200"/>
      </w:pPr>
      <w:r>
        <w:rPr>
          <w:rFonts w:ascii="Calibri" w:cs="Calibri" w:eastAsia="Calibri" w:hAnsi="Calibri"/>
          <w:b/>
          <w:bCs/>
          <w:color w:val="2E5C8A"/>
          <w:sz w:val="18"/>
          <w:szCs w:val="18"/>
        </w:rPr>
        <w:t xml:space="preserve">APPENDIX B</w:t>
      </w:r>
    </w:p>
    <w:p>
      <w:pPr>
        <w:pStyle w:val="Heading1"/>
        <w:spacing w:after="200" w:before="400" w:line="300"/>
      </w:pPr>
      <w:r>
        <w:rPr>
          <w:rFonts w:ascii="Calibri" w:cs="Calibri" w:eastAsia="Calibri" w:hAnsi="Calibri"/>
          <w:b/>
          <w:bCs/>
          <w:color w:val="1B2A4A"/>
          <w:sz w:val="36"/>
          <w:szCs w:val="36"/>
        </w:rPr>
        <w:t xml:space="preserve">DDM Systems Company Profile</w:t>
      </w:r>
    </w:p>
    <w:p>
      <w:pPr>
        <w:pBdr>
          <w:bottom w:val="single" w:color="2E5C8A" w:sz="12" w:space="1"/>
        </w:pBdr>
        <w:spacing w:after="80" w:before="80"/>
      </w:pPr>
      <w:r>
        <w:rPr>
          <w:rFonts w:ascii="Calibri" w:cs="Calibri" w:eastAsia="Calibri" w:hAnsi="Calibri"/>
          <w:sz w:val="2"/>
          <w:szCs w:val="2"/>
        </w:rPr>
        <w:t xml:space="preserve"/>
      </w:r>
    </w:p>
    <w:p>
      <w:pPr>
        <w:pStyle w:val="Heading2"/>
        <w:spacing w:after="140" w:before="300" w:line="300"/>
      </w:pPr>
      <w:r>
        <w:rPr>
          <w:rFonts w:ascii="Calibri" w:cs="Calibri" w:eastAsia="Calibri" w:hAnsi="Calibri"/>
          <w:b/>
          <w:bCs/>
          <w:color w:val="1B2A4A"/>
          <w:sz w:val="28"/>
          <w:szCs w:val="28"/>
        </w:rPr>
        <w:t xml:space="preserve">B.1 Company Overview</w:t>
      </w:r>
    </w:p>
    <w:p>
      <w:pPr>
        <w:spacing w:after="8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8"/>
        <w:gridCol w:w="6552"/>
      </w:tblGrid>
      <w:tr>
        <w:trPr>
          <w:cantSplit/>
          <w:tblHeader/>
        </w:trPr>
        <w:tc>
          <w:tcPr>
            <w:tcW w:type="dxa" w:w="2808"/>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Field</w:t>
            </w:r>
          </w:p>
        </w:tc>
        <w:tc>
          <w:tcPr>
            <w:tcW w:type="dxa" w:w="6552"/>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Detail</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Company</w:t>
            </w:r>
          </w:p>
        </w:tc>
        <w:tc>
          <w:tcPr>
            <w:tcW w:type="dxa" w:w="6552"/>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DDM Systems, Inc.</w:t>
            </w:r>
          </w:p>
        </w:tc>
      </w:tr>
      <w:tr>
        <w:trPr>
          <w:cantSplit/>
        </w:trPr>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Founded</w:t>
            </w:r>
          </w:p>
        </w:tc>
        <w:tc>
          <w:tcPr>
            <w:tcW w:type="dxa" w:w="6552"/>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2012</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Headquarters</w:t>
            </w:r>
          </w:p>
        </w:tc>
        <w:tc>
          <w:tcPr>
            <w:tcW w:type="dxa" w:w="6552"/>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1876 Defoor Avenue NW, Suite 3, Atlanta, Georgia 30318</w:t>
            </w:r>
          </w:p>
        </w:tc>
      </w:tr>
      <w:tr>
        <w:trPr>
          <w:cantSplit/>
        </w:trPr>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Leadership</w:t>
            </w:r>
          </w:p>
        </w:tc>
        <w:tc>
          <w:tcPr>
            <w:tcW w:type="dxa" w:w="6552"/>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Dr. Suman Das, Founder and CEO</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Core Technology</w:t>
            </w:r>
          </w:p>
        </w:tc>
        <w:tc>
          <w:tcPr>
            <w:tcW w:type="dxa" w:w="6552"/>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LAMP™, DirectPour™, SLE™, Digital Foundry</w:t>
            </w:r>
          </w:p>
        </w:tc>
      </w:tr>
      <w:tr>
        <w:trPr>
          <w:cantSplit/>
        </w:trPr>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Patents</w:t>
            </w:r>
          </w:p>
        </w:tc>
        <w:tc>
          <w:tcPr>
            <w:tcW w:type="dxa" w:w="6552"/>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Over 26 across six countries</w:t>
            </w:r>
          </w:p>
        </w:tc>
      </w:tr>
      <w:tr>
        <w:trPr>
          <w:cantSplit/>
        </w:trPr>
        <w:tc>
          <w:tcPr>
            <w:tcW w:type="dxa" w:w="2808"/>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Active Engagements</w:t>
            </w:r>
          </w:p>
        </w:tc>
        <w:tc>
          <w:tcPr>
            <w:tcW w:type="dxa" w:w="6552"/>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Multiple DoD, defense prime, and allied programs</w:t>
            </w:r>
          </w:p>
        </w:tc>
      </w:tr>
      <w:tr>
        <w:trPr>
          <w:cantSplit/>
        </w:trPr>
        <w:tc>
          <w:tcPr>
            <w:tcW w:type="dxa" w:w="2808"/>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Website</w:t>
            </w:r>
          </w:p>
        </w:tc>
        <w:tc>
          <w:tcPr>
            <w:tcW w:type="dxa" w:w="6552"/>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www.RapidPrecisionCastings.com</w:t>
            </w:r>
          </w:p>
        </w:tc>
      </w:tr>
    </w:tbl>
    <w:p>
      <w:pPr>
        <w:spacing w:after="200" w:before="0"/>
      </w:pPr>
      <w:r>
        <w:t xml:space="preserve"/>
      </w:r>
    </w:p>
    <w:p>
      <w:pPr>
        <w:pStyle w:val="Heading2"/>
        <w:spacing w:after="140" w:before="300" w:line="300"/>
      </w:pPr>
      <w:r>
        <w:rPr>
          <w:rFonts w:ascii="Calibri" w:cs="Calibri" w:eastAsia="Calibri" w:hAnsi="Calibri"/>
          <w:b/>
          <w:bCs/>
          <w:color w:val="1B2A4A"/>
          <w:sz w:val="28"/>
          <w:szCs w:val="28"/>
        </w:rPr>
        <w:t xml:space="preserve">B.2 Leadership</w:t>
      </w:r>
    </w:p>
    <w:p>
      <w:pPr>
        <w:pStyle w:val="Heading4"/>
        <w:spacing w:after="80" w:before="180" w:line="280"/>
      </w:pPr>
      <w:r>
        <w:rPr>
          <w:rFonts w:ascii="Calibri" w:cs="Calibri" w:eastAsia="Calibri" w:hAnsi="Calibri"/>
          <w:b/>
          <w:bCs/>
          <w:color w:val="0F1B33"/>
          <w:sz w:val="22"/>
          <w:szCs w:val="22"/>
        </w:rPr>
        <w:t xml:space="preserve">Dr. Suman Das, Founder, President, and CEO</w:t>
      </w:r>
    </w:p>
    <w:p>
      <w:pPr>
        <w:spacing w:after="120" w:before="60" w:line="300"/>
        <w:jc w:val="both"/>
      </w:pPr>
      <w:r>
        <w:rPr>
          <w:rFonts w:ascii="Calibri" w:cs="Calibri" w:eastAsia="Calibri" w:hAnsi="Calibri"/>
          <w:b w:val="false"/>
          <w:bCs w:val="false"/>
          <w:i w:val="false"/>
          <w:iCs w:val="false"/>
          <w:color w:val="2C2C2C"/>
          <w:sz w:val="22"/>
          <w:szCs w:val="22"/>
        </w:rPr>
        <w:t xml:space="preserve">Dr. Suman Das is the Morris M. Bryan Jr. Chair Professor in Mechanical Engineering for Advanced Manufacturing Systems at the Georgia Institute of Technology and the founder of DDM Systems. He holds a PhD in Mechanical Engineering from the University of Texas at Austin (1998) and has more than thirty five years of experience in additive manufacturing research and development. He is the principal inventor on the majority of the DDM Systems patent portfolio and has been recognized internationally for his contributions to the field.</w:t>
      </w:r>
    </w:p>
    <w:p>
      <w:pPr>
        <w:pStyle w:val="Heading4"/>
        <w:spacing w:after="80" w:before="180" w:line="280"/>
      </w:pPr>
      <w:r>
        <w:rPr>
          <w:rFonts w:ascii="Calibri" w:cs="Calibri" w:eastAsia="Calibri" w:hAnsi="Calibri"/>
          <w:b/>
          <w:bCs/>
          <w:color w:val="0F1B33"/>
          <w:sz w:val="22"/>
          <w:szCs w:val="22"/>
        </w:rPr>
        <w:t xml:space="preserve">Dr. John Halloran, Co Founder</w:t>
      </w:r>
    </w:p>
    <w:p>
      <w:pPr>
        <w:spacing w:after="120" w:before="60" w:line="300"/>
        <w:jc w:val="both"/>
      </w:pPr>
      <w:r>
        <w:rPr>
          <w:rFonts w:ascii="Calibri" w:cs="Calibri" w:eastAsia="Calibri" w:hAnsi="Calibri"/>
          <w:b w:val="false"/>
          <w:bCs w:val="false"/>
          <w:i w:val="false"/>
          <w:iCs w:val="false"/>
          <w:color w:val="2C2C2C"/>
          <w:sz w:val="22"/>
          <w:szCs w:val="22"/>
        </w:rPr>
        <w:t xml:space="preserve">Dr. John Halloran holds a PhD in Ceramics from the Massachusetts Institute of Technology (1976). He co founded Ceramic Process Systems Corporation and Adaptive Materials Inc., and is a Fellow of The American Ceramic Society. His work on ceramic photopolymerization methods is foundational to the LAMP™ technology that anchors the DDM Systems technology stack.</w:t>
      </w:r>
    </w:p>
    <w:p>
      <w:pPr>
        <w:pStyle w:val="Heading4"/>
        <w:spacing w:after="80" w:before="180" w:line="280"/>
      </w:pPr>
      <w:r>
        <w:rPr>
          <w:rFonts w:ascii="Calibri" w:cs="Calibri" w:eastAsia="Calibri" w:hAnsi="Calibri"/>
          <w:b/>
          <w:bCs/>
          <w:color w:val="0F1B33"/>
          <w:sz w:val="22"/>
          <w:szCs w:val="22"/>
        </w:rPr>
        <w:t xml:space="preserve">Tom Mueller, Business Development and Sales Director, USA</w:t>
      </w:r>
    </w:p>
    <w:p>
      <w:pPr>
        <w:spacing w:after="120" w:before="60" w:line="300"/>
        <w:jc w:val="both"/>
      </w:pPr>
      <w:r>
        <w:rPr>
          <w:rFonts w:ascii="Calibri" w:cs="Calibri" w:eastAsia="Calibri" w:hAnsi="Calibri"/>
          <w:b w:val="false"/>
          <w:bCs w:val="false"/>
          <w:i w:val="false"/>
          <w:iCs w:val="false"/>
          <w:color w:val="2C2C2C"/>
          <w:sz w:val="22"/>
          <w:szCs w:val="22"/>
        </w:rPr>
        <w:t xml:space="preserve">Tom Mueller holds an MBA from MIT Sloan and an MS in Mechanical Engineering from the University of Illinois Urbana Champaign. He has thirty years of experience in additive manufacturing business development, including senior roles at Voxeljet, 3D Systems, ExpressPattern, and Baxter Healthcare.</w:t>
      </w:r>
    </w:p>
    <w:p>
      <w:pPr>
        <w:pStyle w:val="Heading4"/>
        <w:spacing w:after="80" w:before="180" w:line="280"/>
      </w:pPr>
      <w:r>
        <w:rPr>
          <w:rFonts w:ascii="Calibri" w:cs="Calibri" w:eastAsia="Calibri" w:hAnsi="Calibri"/>
          <w:b/>
          <w:bCs/>
          <w:color w:val="0F1B33"/>
          <w:sz w:val="22"/>
          <w:szCs w:val="22"/>
        </w:rPr>
        <w:t xml:space="preserve">Dhruvin Vora, Business Development and Sales Director, Canada and Asia</w:t>
      </w:r>
    </w:p>
    <w:p>
      <w:pPr>
        <w:spacing w:after="120" w:before="60" w:line="300"/>
        <w:jc w:val="both"/>
      </w:pPr>
      <w:r>
        <w:rPr>
          <w:rFonts w:ascii="Calibri" w:cs="Calibri" w:eastAsia="Calibri" w:hAnsi="Calibri"/>
          <w:b w:val="false"/>
          <w:bCs w:val="false"/>
          <w:i w:val="false"/>
          <w:iCs w:val="false"/>
          <w:color w:val="2C2C2C"/>
          <w:sz w:val="22"/>
          <w:szCs w:val="22"/>
        </w:rPr>
        <w:t xml:space="preserve">Dhruvin Vora holds an MS in Aerospace Materials from the University of Sheffield. He has business development experience at Canadian Specialty Castings, Linamar Gear, and High Tech Investment Castings.</w:t>
      </w:r>
    </w:p>
    <w:p>
      <w:pPr>
        <w:pStyle w:val="Heading2"/>
        <w:spacing w:after="140" w:before="300" w:line="300"/>
      </w:pPr>
      <w:r>
        <w:rPr>
          <w:rFonts w:ascii="Calibri" w:cs="Calibri" w:eastAsia="Calibri" w:hAnsi="Calibri"/>
          <w:b/>
          <w:bCs/>
          <w:color w:val="1B2A4A"/>
          <w:sz w:val="28"/>
          <w:szCs w:val="28"/>
        </w:rPr>
        <w:t xml:space="preserve">B.3 Technology Stack Summary</w:t>
      </w:r>
    </w:p>
    <w:p>
      <w:pPr>
        <w:pStyle w:val="Heading4"/>
        <w:spacing w:after="80" w:before="180" w:line="280"/>
      </w:pPr>
      <w:r>
        <w:rPr>
          <w:rFonts w:ascii="Calibri" w:cs="Calibri" w:eastAsia="Calibri" w:hAnsi="Calibri"/>
          <w:b/>
          <w:bCs/>
          <w:color w:val="0F1B33"/>
          <w:sz w:val="22"/>
          <w:szCs w:val="22"/>
        </w:rPr>
        <w:t xml:space="preserve">LAMP™, Large Area Maskless Photopolymerization</w:t>
      </w:r>
    </w:p>
    <w:p>
      <w:pPr>
        <w:spacing w:after="120" w:before="60" w:line="300"/>
        <w:jc w:val="both"/>
      </w:pPr>
      <w:r>
        <w:rPr>
          <w:rFonts w:ascii="Calibri" w:cs="Calibri" w:eastAsia="Calibri" w:hAnsi="Calibri"/>
          <w:b w:val="false"/>
          <w:bCs w:val="false"/>
          <w:i w:val="false"/>
          <w:iCs w:val="false"/>
          <w:color w:val="2C2C2C"/>
          <w:sz w:val="22"/>
          <w:szCs w:val="22"/>
        </w:rPr>
        <w:t xml:space="preserve">Patented ceramic three-dimensional printing technology that produces investment casting molds directly from CAD files. Registered trademark 5530416 at the United States Patent and Trademark Office. Production build volume twenty-four by twenty-four by twenty-four inches. Layer thickness fifty to one hundred microns. Pixel density up to nine thousand seven hundred pixels per square millimeter. Throughput thirty-six thousand cubic centimeters per day. Surface finish less than four microns RMS. Density greater than ninety nine point five percent.</w:t>
      </w:r>
    </w:p>
    <w:p>
      <w:pPr>
        <w:pStyle w:val="Heading4"/>
        <w:spacing w:after="80" w:before="180" w:line="280"/>
      </w:pPr>
      <w:r>
        <w:rPr>
          <w:rFonts w:ascii="Calibri" w:cs="Calibri" w:eastAsia="Calibri" w:hAnsi="Calibri"/>
          <w:b/>
          <w:bCs/>
          <w:color w:val="0F1B33"/>
          <w:sz w:val="22"/>
          <w:szCs w:val="22"/>
        </w:rPr>
        <w:t xml:space="preserve">DirectPour™, End to End Casting Service</w:t>
      </w:r>
    </w:p>
    <w:p>
      <w:pPr>
        <w:spacing w:after="120" w:before="60" w:line="300"/>
        <w:jc w:val="both"/>
      </w:pPr>
      <w:r>
        <w:rPr>
          <w:rFonts w:ascii="Calibri" w:cs="Calibri" w:eastAsia="Calibri" w:hAnsi="Calibri"/>
          <w:b w:val="false"/>
          <w:bCs w:val="false"/>
          <w:i w:val="false"/>
          <w:iCs w:val="false"/>
          <w:color w:val="2C2C2C"/>
          <w:sz w:val="22"/>
          <w:szCs w:val="22"/>
        </w:rPr>
        <w:t xml:space="preserve">Proprietary service mark covering the end-to-end process from customer CAD submission through finished qualified casting delivery. Five principal steps versus twelve in conventional investment casting. Compatible with all air melt and vacuum melt foundry processes.</w:t>
      </w:r>
    </w:p>
    <w:p>
      <w:pPr>
        <w:pStyle w:val="Heading4"/>
        <w:spacing w:after="80" w:before="180" w:line="280"/>
      </w:pPr>
      <w:r>
        <w:rPr>
          <w:rFonts w:ascii="Calibri" w:cs="Calibri" w:eastAsia="Calibri" w:hAnsi="Calibri"/>
          <w:b/>
          <w:bCs/>
          <w:color w:val="0F1B33"/>
          <w:sz w:val="22"/>
          <w:szCs w:val="22"/>
        </w:rPr>
        <w:t xml:space="preserve">SLE™, Scanning Laser Epitaxy</w:t>
      </w:r>
    </w:p>
    <w:p>
      <w:pPr>
        <w:spacing w:after="120" w:before="60" w:line="300"/>
        <w:jc w:val="both"/>
      </w:pPr>
      <w:r>
        <w:rPr>
          <w:rFonts w:ascii="Calibri" w:cs="Calibri" w:eastAsia="Calibri" w:hAnsi="Calibri"/>
          <w:b w:val="false"/>
          <w:bCs w:val="false"/>
          <w:i w:val="false"/>
          <w:iCs w:val="false"/>
          <w:color w:val="2C2C2C"/>
          <w:sz w:val="22"/>
          <w:szCs w:val="22"/>
        </w:rPr>
        <w:t xml:space="preserve">Patented metal additive manufacturing technology for superalloy deposition and repair. Demonstrated on MAR-M247, Rene 80, IN100, Inconel 718, CMSX-4, Rene N5, Rene 142, and Ti-6Al-4V. Produces fully dense, crack free deposits in traditionally non weldable alloys.</w:t>
      </w:r>
    </w:p>
    <w:p>
      <w:pPr>
        <w:pStyle w:val="Heading4"/>
        <w:spacing w:after="80" w:before="180" w:line="280"/>
      </w:pPr>
      <w:r>
        <w:rPr>
          <w:rFonts w:ascii="Calibri" w:cs="Calibri" w:eastAsia="Calibri" w:hAnsi="Calibri"/>
          <w:b/>
          <w:bCs/>
          <w:color w:val="0F1B33"/>
          <w:sz w:val="22"/>
          <w:szCs w:val="22"/>
        </w:rPr>
        <w:t xml:space="preserve">Digital Foundry</w:t>
      </w:r>
    </w:p>
    <w:p>
      <w:pPr>
        <w:spacing w:after="120" w:before="60" w:line="300"/>
        <w:jc w:val="both"/>
      </w:pPr>
      <w:r>
        <w:rPr>
          <w:rFonts w:ascii="Calibri" w:cs="Calibri" w:eastAsia="Calibri" w:hAnsi="Calibri"/>
          <w:b w:val="false"/>
          <w:bCs w:val="false"/>
          <w:i w:val="false"/>
          <w:iCs w:val="false"/>
          <w:color w:val="2C2C2C"/>
          <w:sz w:val="22"/>
          <w:szCs w:val="22"/>
        </w:rPr>
        <w:t xml:space="preserve">Proprietary name for the vertically integrated production architecture combining LAMP™, DirectPour™, SLE™, and the supporting software, process control, and quality infrastructure. Installed at DDM Systems headquarters in Atlanta. Funded installations planned at Tinker Air Force Base, Robins Air Force Base, Eaton Aerospace UK, and the Defense Industrial Base Consortium classified facility.</w:t>
      </w:r>
    </w:p>
    <w:p>
      <w:pPr>
        <w:pStyle w:val="Heading2"/>
        <w:spacing w:after="140" w:before="300" w:line="300"/>
      </w:pPr>
      <w:r>
        <w:rPr>
          <w:rFonts w:ascii="Calibri" w:cs="Calibri" w:eastAsia="Calibri" w:hAnsi="Calibri"/>
          <w:b/>
          <w:bCs/>
          <w:color w:val="1B2A4A"/>
          <w:sz w:val="28"/>
          <w:szCs w:val="28"/>
        </w:rPr>
        <w:t xml:space="preserve">B.4 Government Credentials</w:t>
      </w:r>
    </w:p>
    <w:p>
      <w:pPr>
        <w:spacing w:after="80" w:before="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6240"/>
      </w:tblGrid>
      <w:tr>
        <w:trPr>
          <w:cantSplit/>
          <w:tblHeader/>
        </w:trPr>
        <w:tc>
          <w:tcPr>
            <w:tcW w:type="dxa" w:w="312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Credential</w:t>
            </w:r>
          </w:p>
        </w:tc>
        <w:tc>
          <w:tcPr>
            <w:tcW w:type="dxa" w:w="624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Detail</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CAGE Code</w:t>
            </w:r>
          </w:p>
        </w:tc>
        <w:tc>
          <w:tcPr>
            <w:tcW w:type="dxa" w:w="62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71N28</w:t>
            </w:r>
          </w:p>
        </w:tc>
      </w:tr>
      <w:tr>
        <w:trPr>
          <w:cantSplit/>
        </w:trPr>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DUNS Number</w:t>
            </w:r>
          </w:p>
        </w:tc>
        <w:tc>
          <w:tcPr>
            <w:tcW w:type="dxa" w:w="62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078840629</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Unique Entity ID (UEID)</w:t>
            </w:r>
          </w:p>
        </w:tc>
        <w:tc>
          <w:tcPr>
            <w:tcW w:type="dxa" w:w="62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CXJ3LCNKBXM9</w:t>
            </w:r>
          </w:p>
        </w:tc>
      </w:tr>
      <w:tr>
        <w:trPr>
          <w:cantSplit/>
        </w:trPr>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ITAR Registration</w:t>
            </w:r>
          </w:p>
        </w:tc>
        <w:tc>
          <w:tcPr>
            <w:tcW w:type="dxa" w:w="62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Active with Directorate of Defense Trade Controls, effective July 9, 2024</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Defense Industrial Base Consortium</w:t>
            </w:r>
          </w:p>
        </w:tc>
        <w:tc>
          <w:tcPr>
            <w:tcW w:type="dxa" w:w="62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Member, effective May 28, 2024</w:t>
            </w:r>
          </w:p>
        </w:tc>
      </w:tr>
      <w:tr>
        <w:trPr>
          <w:cantSplit/>
        </w:trPr>
        <w:tc>
          <w:tcPr>
            <w:tcW w:type="dxa" w:w="31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America Makes</w:t>
            </w:r>
          </w:p>
        </w:tc>
        <w:tc>
          <w:tcPr>
            <w:tcW w:type="dxa" w:w="62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Silver Member, effective July 18, 2023</w:t>
            </w:r>
          </w:p>
        </w:tc>
      </w:tr>
      <w:tr>
        <w:trPr>
          <w:cantSplit/>
        </w:trPr>
        <w:tc>
          <w:tcPr>
            <w:tcW w:type="dxa" w:w="31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Cornerstone OTA</w:t>
            </w:r>
          </w:p>
        </w:tc>
        <w:tc>
          <w:tcPr>
            <w:tcW w:type="dxa" w:w="62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Member, effective September 9, 2024, with oversight by DEVCOM CBC, ACC, and IBAS</w:t>
            </w:r>
          </w:p>
        </w:tc>
      </w:tr>
    </w:tbl>
    <w:p>
      <w:pPr>
        <w:spacing w:after="200" w:before="0"/>
      </w:pPr>
      <w:r>
        <w:t xml:space="preserve"/>
      </w:r>
    </w:p>
    <w:p>
      <w:pPr>
        <w:pStyle w:val="Heading4"/>
        <w:spacing w:after="80" w:before="180" w:line="280"/>
      </w:pPr>
      <w:r>
        <w:rPr>
          <w:rFonts w:ascii="Calibri" w:cs="Calibri" w:eastAsia="Calibri" w:hAnsi="Calibri"/>
          <w:b/>
          <w:bCs/>
          <w:color w:val="0F1B33"/>
          <w:sz w:val="22"/>
          <w:szCs w:val="22"/>
        </w:rPr>
        <w:t xml:space="preserve">NAICS Codes</w:t>
      </w:r>
    </w:p>
    <w:p>
      <w:pPr>
        <w:spacing w:after="120" w:before="60" w:line="300"/>
        <w:jc w:val="both"/>
      </w:pPr>
      <w:r>
        <w:rPr>
          <w:rFonts w:ascii="Calibri" w:cs="Calibri" w:eastAsia="Calibri" w:hAnsi="Calibri"/>
          <w:b w:val="false"/>
          <w:bCs w:val="false"/>
          <w:i w:val="false"/>
          <w:iCs w:val="false"/>
          <w:color w:val="2C2C2C"/>
          <w:sz w:val="22"/>
          <w:szCs w:val="22"/>
        </w:rPr>
        <w:t xml:space="preserve">DDM Systems is registered under the following North American Industry Classification System codes, which cover the company's full scope of investment casting, advanced manufacturing, research, and engineering services.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7020"/>
      </w:tblGrid>
      <w:tr>
        <w:trPr>
          <w:cantSplit/>
          <w:tblHeader/>
        </w:trPr>
        <w:tc>
          <w:tcPr>
            <w:tcW w:type="dxa" w:w="234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NAICS Code</w:t>
            </w:r>
          </w:p>
        </w:tc>
        <w:tc>
          <w:tcPr>
            <w:tcW w:type="dxa" w:w="7020"/>
            <w:tcBorders>
              <w:top w:val="single" w:color="1B2A4A" w:sz="4"/>
              <w:left w:val="single" w:color="1B2A4A" w:sz="4"/>
              <w:bottom w:val="single" w:color="1B2A4A" w:sz="4"/>
              <w:right w:val="single" w:color="1B2A4A" w:sz="4"/>
            </w:tcBorders>
            <w:shd w:fill="1B2A4A" w:val="clear"/>
            <w:tcMar>
              <w:top w:type="dxa" w:w="100"/>
              <w:left w:type="dxa" w:w="140"/>
              <w:bottom w:type="dxa" w:w="100"/>
              <w:right w:type="dxa" w:w="140"/>
            </w:tcMar>
          </w:tcPr>
          <w:p>
            <w:pPr>
              <w:spacing w:after="0" w:before="0" w:line="260"/>
              <w:jc w:val="left"/>
            </w:pPr>
            <w:r>
              <w:rPr>
                <w:rFonts w:ascii="Calibri" w:cs="Calibri" w:eastAsia="Calibri" w:hAnsi="Calibri"/>
                <w:b/>
                <w:bCs/>
                <w:color w:val="FFFFFF"/>
                <w:sz w:val="20"/>
                <w:szCs w:val="20"/>
              </w:rPr>
              <w:t xml:space="preserve">Description</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331512</w:t>
            </w:r>
          </w:p>
        </w:tc>
        <w:tc>
          <w:tcPr>
            <w:tcW w:type="dxa" w:w="70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Steel Investment Foundries</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331524</w:t>
            </w:r>
          </w:p>
        </w:tc>
        <w:tc>
          <w:tcPr>
            <w:tcW w:type="dxa" w:w="70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Aluminum Foundries (except Die-Casting)</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331529</w:t>
            </w:r>
          </w:p>
        </w:tc>
        <w:tc>
          <w:tcPr>
            <w:tcW w:type="dxa" w:w="70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Other Nonferrous Metal Foundries (except Die-Casting)</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332117</w:t>
            </w:r>
          </w:p>
        </w:tc>
        <w:tc>
          <w:tcPr>
            <w:tcW w:type="dxa" w:w="70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Powder Metallurgy Part Manufacturing</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332999</w:t>
            </w:r>
          </w:p>
        </w:tc>
        <w:tc>
          <w:tcPr>
            <w:tcW w:type="dxa" w:w="70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All Other Miscellaneous Fabricated Metal Product Manufacturing</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333248</w:t>
            </w:r>
          </w:p>
        </w:tc>
        <w:tc>
          <w:tcPr>
            <w:tcW w:type="dxa" w:w="70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All Other Industrial Machinery Manufacturing</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333511</w:t>
            </w:r>
          </w:p>
        </w:tc>
        <w:tc>
          <w:tcPr>
            <w:tcW w:type="dxa" w:w="70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Industrial Mold Manufacturing</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336412</w:t>
            </w:r>
          </w:p>
        </w:tc>
        <w:tc>
          <w:tcPr>
            <w:tcW w:type="dxa" w:w="70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Aircraft Engine and Engine Parts Manufacturing</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336413</w:t>
            </w:r>
          </w:p>
        </w:tc>
        <w:tc>
          <w:tcPr>
            <w:tcW w:type="dxa" w:w="70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Other Aircraft Parts and Auxiliary Equipment Manufacturing</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336415</w:t>
            </w:r>
          </w:p>
        </w:tc>
        <w:tc>
          <w:tcPr>
            <w:tcW w:type="dxa" w:w="70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Guided Missile and Space Vehicle Propulsion Unit Manufacturing</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541330</w:t>
            </w:r>
          </w:p>
        </w:tc>
        <w:tc>
          <w:tcPr>
            <w:tcW w:type="dxa" w:w="70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Engineering Services</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541380</w:t>
            </w:r>
          </w:p>
        </w:tc>
        <w:tc>
          <w:tcPr>
            <w:tcW w:type="dxa" w:w="70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Testing Laboratories and Services</w:t>
            </w:r>
          </w:p>
        </w:tc>
      </w:tr>
      <w:tr>
        <w:trPr>
          <w:cantSplit/>
        </w:trPr>
        <w:tc>
          <w:tcPr>
            <w:tcW w:type="dxa" w:w="234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541690</w:t>
            </w:r>
          </w:p>
        </w:tc>
        <w:tc>
          <w:tcPr>
            <w:tcW w:type="dxa" w:w="7020"/>
            <w:tcBorders>
              <w:top w:val="single" w:color="1B2A4A" w:sz="4"/>
              <w:left w:val="single" w:color="1B2A4A" w:sz="4"/>
              <w:bottom w:val="single" w:color="1B2A4A" w:sz="4"/>
              <w:right w:val="single" w:color="1B2A4A" w:sz="4"/>
            </w:tcBorders>
            <w:shd w:fill="EBF2F7"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Other Scientific and Technical Consulting Services</w:t>
            </w:r>
          </w:p>
        </w:tc>
      </w:tr>
      <w:tr>
        <w:trPr>
          <w:cantSplit/>
        </w:trPr>
        <w:tc>
          <w:tcPr>
            <w:tcW w:type="dxa" w:w="234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541715</w:t>
            </w:r>
          </w:p>
        </w:tc>
        <w:tc>
          <w:tcPr>
            <w:tcW w:type="dxa" w:w="7020"/>
            <w:tcBorders>
              <w:top w:val="single" w:color="1B2A4A" w:sz="4"/>
              <w:left w:val="single" w:color="1B2A4A" w:sz="4"/>
              <w:bottom w:val="single" w:color="1B2A4A" w:sz="4"/>
              <w:right w:val="single" w:color="1B2A4A" w:sz="4"/>
            </w:tcBorders>
            <w:shd w:fill="FFFFFF" w:val="clear"/>
            <w:tcMar>
              <w:top w:type="dxa" w:w="100"/>
              <w:left w:type="dxa" w:w="140"/>
              <w:bottom w:type="dxa" w:w="100"/>
              <w:right w:type="dxa" w:w="140"/>
            </w:tcMar>
          </w:tcPr>
          <w:p>
            <w:pPr>
              <w:spacing w:after="0" w:before="0" w:line="260"/>
              <w:jc w:val="left"/>
            </w:pPr>
            <w:r>
              <w:rPr>
                <w:rFonts w:ascii="Calibri" w:cs="Calibri" w:eastAsia="Calibri" w:hAnsi="Calibri"/>
                <w:color w:val="2C2C2C"/>
                <w:sz w:val="20"/>
                <w:szCs w:val="20"/>
              </w:rPr>
              <w:t xml:space="preserve">R&amp;D in Physical, Engineering, and Life Sciences</w:t>
            </w:r>
          </w:p>
        </w:tc>
      </w:tr>
    </w:tbl>
    <w:p>
      <w:pPr>
        <w:spacing w:after="200" w:before="0"/>
      </w:pPr>
      <w: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A proposed addition to the DDM Systems NAICS registration is NAICS 333611, Turbine and Turbine Engine Manufacturing. This addition aligns with the GE Vernova ARPA-E partnership on turbine component casting and with the propulsion use case that this white paper addresses. The addition is in progress through the System for Award Management registration update process.</w:t>
      </w:r>
    </w:p>
    <w:p>
      <w:pPr>
        <w:pStyle w:val="Heading2"/>
        <w:spacing w:after="140" w:before="300" w:line="300"/>
      </w:pPr>
      <w:r>
        <w:rPr>
          <w:rFonts w:ascii="Calibri" w:cs="Calibri" w:eastAsia="Calibri" w:hAnsi="Calibri"/>
          <w:b/>
          <w:bCs/>
          <w:color w:val="1B2A4A"/>
          <w:sz w:val="28"/>
          <w:szCs w:val="28"/>
        </w:rPr>
        <w:t xml:space="preserve">B.5 Active and Pipeline Programs</w:t>
      </w:r>
    </w:p>
    <w:p>
      <w:pPr>
        <w:pStyle w:val="Heading4"/>
        <w:spacing w:after="80" w:before="180" w:line="280"/>
      </w:pPr>
      <w:r>
        <w:rPr>
          <w:rFonts w:ascii="Calibri" w:cs="Calibri" w:eastAsia="Calibri" w:hAnsi="Calibri"/>
          <w:b/>
          <w:bCs/>
          <w:color w:val="0F1B33"/>
          <w:sz w:val="22"/>
          <w:szCs w:val="22"/>
        </w:rPr>
        <w:t xml:space="preserve">Active and Recently Completed</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Multiple contracts with GE Gas Power, 2021 through 2022.</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ARPA-E subcontract from GE Vernova, 2022 through 2024, for the Manufacturing High Yield Investment Castings project.</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Contract with America Makes for USAF aircraft castings, 2023 through 2025.</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Contract with Northrop Grumman for USAF Hypersonic Missile castings, 2024.</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DoD contract with America Makes for rapid casting demonstration, 2024 through 2025.</w:t>
      </w:r>
    </w:p>
    <w:p>
      <w:pPr>
        <w:pStyle w:val="Heading4"/>
        <w:spacing w:after="80" w:before="180" w:line="280"/>
      </w:pPr>
      <w:r>
        <w:rPr>
          <w:rFonts w:ascii="Calibri" w:cs="Calibri" w:eastAsia="Calibri" w:hAnsi="Calibri"/>
          <w:b/>
          <w:bCs/>
          <w:color w:val="0F1B33"/>
          <w:sz w:val="22"/>
          <w:szCs w:val="22"/>
        </w:rPr>
        <w:t xml:space="preserve">Near Term Pipeline</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Digital Foundry installation at Tinker Air Force Base, slated for 2026 through 2027.</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Digital Foundry installation at Robins Air Force Base, slated for 2027 through 2028.</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Strategic Partnership with Eaton Aerospace and Digital Foundry installation in the United Kingdom, slated for 2026.</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Classified Digital Foundry with the Defense Industrial Base Consortium, slated for 2026.</w:t>
      </w:r>
    </w:p>
    <w:p>
      <w:pPr>
        <w:pStyle w:val="Heading2"/>
        <w:spacing w:after="140" w:before="300" w:line="300"/>
      </w:pPr>
      <w:r>
        <w:rPr>
          <w:rFonts w:ascii="Calibri" w:cs="Calibri" w:eastAsia="Calibri" w:hAnsi="Calibri"/>
          <w:b/>
          <w:bCs/>
          <w:color w:val="1B2A4A"/>
          <w:sz w:val="28"/>
          <w:szCs w:val="28"/>
        </w:rPr>
        <w:t xml:space="preserve">B.6 Strategic Partnerships</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GE Vernova and GE Gas Power. Decade long collaboration on gas turbine component castings including the ARPA-E Manufacturing High Yield Investment Castings project.</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Oak Ridge National Laboratory. DOE HPC4EI Program partnership for LAMP™ process high-performance computing modeling.</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Georgia Institute of Technology. Technology origin institution and exclusive LAMP™ licensing. Ongoing research collaboration through the Direct Digital Manufacturing Laboratory at the Manufacturing Research Center.</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Eaton Aerospace. Strategic partnership with a Digital Foundry installation in the United Kingdom slated for 2026.</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Northrop Grumman. USAF Hypersonic Missile system casting production under USAF Prime Contract.</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76th Commodities Maintenance Group, Tinker Air Force Base. Active collaboration on Air Force sustainment castings through the America Makes IMPACT program.</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Signicast (Form Technologies). Prior strategic partnership established September 2020 for ceramic three-dimensional printing and investment casting services. The partnership is no longer active but delivered multi-year commercial foundry collaboration and joint case studies, including fighter aircraft legacy component casting.</w:t>
      </w:r>
    </w:p>
    <w:p>
      <w:pPr>
        <w:pStyle w:val="Heading2"/>
        <w:spacing w:after="140" w:before="300" w:line="300"/>
      </w:pPr>
      <w:r>
        <w:rPr>
          <w:rFonts w:ascii="Calibri" w:cs="Calibri" w:eastAsia="Calibri" w:hAnsi="Calibri"/>
          <w:b/>
          <w:bCs/>
          <w:color w:val="1B2A4A"/>
          <w:sz w:val="28"/>
          <w:szCs w:val="28"/>
        </w:rPr>
        <w:t xml:space="preserve">B.7 Defense and Aerospace Programs Served</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USAF B-2 Spirit Stealth Bomber aircraft spare parts.</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USAF A-10 Thunderbolt II Warthog aircraft spare parts.</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USAF C-5 Galaxy aircraft spare parts.</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Hypersonic missile system castings via Northrop Grumman.</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Industrial gas turbine components via GE Vernova.</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Fighter aircraft components delivered under the AFWERX Fusion 2020 program in prior collaboration with Signicast and Moog, including the F-15 roll ratio servo cover.</w:t>
      </w:r>
    </w:p>
    <w:p>
      <w:pPr>
        <w:pStyle w:val="ListParagraph"/>
        <w:numPr>
          <w:ilvl w:val="0"/>
          <w:numId w:val="5"/>
        </w:numPr>
        <w:spacing w:after="40" w:before="40" w:line="280"/>
      </w:pPr>
      <w:r>
        <w:rPr>
          <w:rFonts w:ascii="Calibri" w:cs="Calibri" w:eastAsia="Calibri" w:hAnsi="Calibri"/>
          <w:b w:val="false"/>
          <w:bCs w:val="false"/>
          <w:color w:val="2C2C2C"/>
          <w:sz w:val="22"/>
          <w:szCs w:val="22"/>
        </w:rPr>
        <w:t xml:space="preserve">Aviation oil pumps and hydraulic components.</w:t>
      </w:r>
    </w:p>
    <w:p>
      <w:pPr>
        <w:pStyle w:val="Heading2"/>
        <w:spacing w:after="140" w:before="300" w:line="300"/>
      </w:pPr>
      <w:r>
        <w:rPr>
          <w:rFonts w:ascii="Calibri" w:cs="Calibri" w:eastAsia="Calibri" w:hAnsi="Calibri"/>
          <w:b/>
          <w:bCs/>
          <w:color w:val="1B2A4A"/>
          <w:sz w:val="28"/>
          <w:szCs w:val="28"/>
        </w:rPr>
        <w:t xml:space="preserve">B.8 Recognition and Recognition Events</w:t>
      </w:r>
    </w:p>
    <w:p>
      <w:pPr>
        <w:spacing w:after="120" w:before="60" w:line="300"/>
        <w:jc w:val="both"/>
      </w:pPr>
      <w:r>
        <w:rPr>
          <w:rFonts w:ascii="Calibri" w:cs="Calibri" w:eastAsia="Calibri" w:hAnsi="Calibri"/>
          <w:b w:val="false"/>
          <w:bCs w:val="false"/>
          <w:i w:val="false"/>
          <w:iCs w:val="false"/>
          <w:color w:val="2C2C2C"/>
          <w:sz w:val="22"/>
          <w:szCs w:val="22"/>
        </w:rPr>
        <w:t xml:space="preserve">In 2016, DDM Systems was selected as a finalist for the Hermes Award at Hannover Messe, becoming the first United States company in history to reach that status. Dr. Suman Das received recognition from U.S. President Barack Obama and German Chancellor Angela Merkel. The Hermes Award is widely regarded as the highest international recognition for innovation in industrial technology.</w:t>
      </w:r>
    </w:p>
    <w:p>
      <w:pPr>
        <w:spacing w:after="120" w:before="60" w:line="300"/>
        <w:jc w:val="both"/>
      </w:pPr>
      <w:r>
        <w:rPr>
          <w:rFonts w:ascii="Calibri" w:cs="Calibri" w:eastAsia="Calibri" w:hAnsi="Calibri"/>
          <w:b w:val="false"/>
          <w:bCs w:val="false"/>
          <w:i w:val="false"/>
          <w:iCs w:val="false"/>
          <w:color w:val="2C2C2C"/>
          <w:sz w:val="22"/>
          <w:szCs w:val="22"/>
        </w:rPr>
        <w:t xml:space="preserve">Dr. Das and his team have presented DDM Systems technology at America Makes TRX, the Investment Casting Institute annual meetings, the Additive Manufacturing Users Group conference, AFWERX events, and numerous Department of Defense advanced manufacturing forums. The company's thought leadership in the tooling free precision casting category is recognized by industry analysts, defense trade press, and the academic additive manufacturing community.</w:t>
      </w:r>
    </w:p>
    <w:p>
      <w:pPr>
        <w:pageBreakBefore/>
        <w:spacing w:after="60" w:before="200"/>
      </w:pPr>
      <w:r>
        <w:rPr>
          <w:rFonts w:ascii="Calibri" w:cs="Calibri" w:eastAsia="Calibri" w:hAnsi="Calibri"/>
          <w:b/>
          <w:bCs/>
          <w:color w:val="2E5C8A"/>
          <w:sz w:val="18"/>
          <w:szCs w:val="18"/>
        </w:rPr>
        <w:t xml:space="preserve">APPENDIX C</w:t>
      </w:r>
    </w:p>
    <w:p>
      <w:pPr>
        <w:pStyle w:val="Heading1"/>
        <w:spacing w:after="200" w:before="400" w:line="300"/>
      </w:pPr>
      <w:r>
        <w:rPr>
          <w:rFonts w:ascii="Calibri" w:cs="Calibri" w:eastAsia="Calibri" w:hAnsi="Calibri"/>
          <w:b/>
          <w:bCs/>
          <w:color w:val="1B2A4A"/>
          <w:sz w:val="36"/>
          <w:szCs w:val="36"/>
        </w:rPr>
        <w:t xml:space="preserve">Glossary of Terms</w:t>
      </w:r>
    </w:p>
    <w:p>
      <w:pPr>
        <w:pBdr>
          <w:bottom w:val="single" w:color="2E5C8A" w:sz="12" w:space="1"/>
        </w:pBdr>
        <w:spacing w:after="80" w:before="80"/>
      </w:pPr>
      <w:r>
        <w:rPr>
          <w:rFonts w:ascii="Calibri" w:cs="Calibri" w:eastAsia="Calibri" w:hAnsi="Calibri"/>
          <w:sz w:val="2"/>
          <w:szCs w:val="2"/>
        </w:rPr>
        <w:t xml:space="preserve"/>
      </w:r>
    </w:p>
    <w:p>
      <w:pPr>
        <w:spacing w:after="120" w:before="60" w:line="300"/>
        <w:jc w:val="both"/>
      </w:pPr>
      <w:r>
        <w:rPr>
          <w:rFonts w:ascii="Calibri" w:cs="Calibri" w:eastAsia="Calibri" w:hAnsi="Calibri"/>
          <w:b w:val="false"/>
          <w:bCs w:val="false"/>
          <w:i w:val="false"/>
          <w:iCs w:val="false"/>
          <w:color w:val="2C2C2C"/>
          <w:sz w:val="22"/>
          <w:szCs w:val="22"/>
        </w:rPr>
        <w:t xml:space="preserve">The following glossary defines technical, programmatic, and regulatory terms used in this white paper. Definitions are intended for orientation and are not intended to substitute for formal definitions published by standards bodies, government agencies, or industry organizations.</w:t>
      </w:r>
    </w:p>
    <w:p>
      <w:pPr>
        <w:spacing w:after="160" w:before="0"/>
      </w:pPr>
      <w:r>
        <w:t xml:space="preserve"/>
      </w:r>
    </w:p>
    <w:p>
      <w:pPr>
        <w:spacing w:after="40" w:before="140" w:line="280"/>
      </w:pPr>
      <w:r>
        <w:rPr>
          <w:rFonts w:ascii="Calibri" w:cs="Calibri" w:eastAsia="Calibri" w:hAnsi="Calibri"/>
          <w:b/>
          <w:bCs/>
          <w:color w:val="1B2A4A"/>
          <w:sz w:val="22"/>
          <w:szCs w:val="22"/>
        </w:rPr>
        <w:t xml:space="preserve">Attritable System</w:t>
      </w:r>
    </w:p>
    <w:p>
      <w:pPr>
        <w:spacing w:after="80" w:before="0" w:line="280"/>
        <w:ind w:left="360"/>
      </w:pPr>
      <w:r>
        <w:rPr>
          <w:rFonts w:ascii="Calibri" w:cs="Calibri" w:eastAsia="Calibri" w:hAnsi="Calibri"/>
          <w:color w:val="2C2C2C"/>
          <w:sz w:val="21"/>
          <w:szCs w:val="21"/>
        </w:rPr>
        <w:t xml:space="preserve">An unmanned platform designed for mission completion rather than long term survivability. Attritable systems are loss-tolerant by design and are priced to be economically expendable in the aggregate swarm context. The concept is central to the Department of Defense Replicator initiative.</w:t>
      </w:r>
    </w:p>
    <w:p>
      <w:pPr>
        <w:spacing w:after="40" w:before="140" w:line="280"/>
      </w:pPr>
      <w:r>
        <w:rPr>
          <w:rFonts w:ascii="Calibri" w:cs="Calibri" w:eastAsia="Calibri" w:hAnsi="Calibri"/>
          <w:b/>
          <w:bCs/>
          <w:color w:val="1B2A4A"/>
          <w:sz w:val="22"/>
          <w:szCs w:val="22"/>
        </w:rPr>
        <w:t xml:space="preserve">CMMC</w:t>
      </w:r>
    </w:p>
    <w:p>
      <w:pPr>
        <w:spacing w:after="80" w:before="0" w:line="280"/>
        <w:ind w:left="360"/>
      </w:pPr>
      <w:r>
        <w:rPr>
          <w:rFonts w:ascii="Calibri" w:cs="Calibri" w:eastAsia="Calibri" w:hAnsi="Calibri"/>
          <w:color w:val="2C2C2C"/>
          <w:sz w:val="21"/>
          <w:szCs w:val="21"/>
        </w:rPr>
        <w:t xml:space="preserve">Cybersecurity Maturity Model Certification. A Department of Defense framework for assessing the cybersecurity posture of defense industrial base contractors. Level 2 and higher are typical requirements for contractors handling Controlled Unclassified Information.</w:t>
      </w:r>
    </w:p>
    <w:p>
      <w:pPr>
        <w:spacing w:after="40" w:before="140" w:line="280"/>
      </w:pPr>
      <w:r>
        <w:rPr>
          <w:rFonts w:ascii="Calibri" w:cs="Calibri" w:eastAsia="Calibri" w:hAnsi="Calibri"/>
          <w:b/>
          <w:bCs/>
          <w:color w:val="1B2A4A"/>
          <w:sz w:val="22"/>
          <w:szCs w:val="22"/>
        </w:rPr>
        <w:t xml:space="preserve">DirectPour™</w:t>
      </w:r>
    </w:p>
    <w:p>
      <w:pPr>
        <w:spacing w:after="80" w:before="0" w:line="280"/>
        <w:ind w:left="360"/>
      </w:pPr>
      <w:r>
        <w:rPr>
          <w:rFonts w:ascii="Calibri" w:cs="Calibri" w:eastAsia="Calibri" w:hAnsi="Calibri"/>
          <w:color w:val="2C2C2C"/>
          <w:sz w:val="21"/>
          <w:szCs w:val="21"/>
        </w:rPr>
        <w:t xml:space="preserve">DDM Systems proprietary end-to-end casting service. The service covers the process from customer CAD submission through finished qualified casting delivery in five principal steps, compared with twelve in conventional investment casting. Compatible with air melt and vacuum melt foundry processes.</w:t>
      </w:r>
    </w:p>
    <w:p>
      <w:pPr>
        <w:spacing w:after="40" w:before="140" w:line="280"/>
      </w:pPr>
      <w:r>
        <w:rPr>
          <w:rFonts w:ascii="Calibri" w:cs="Calibri" w:eastAsia="Calibri" w:hAnsi="Calibri"/>
          <w:b/>
          <w:bCs/>
          <w:color w:val="1B2A4A"/>
          <w:sz w:val="22"/>
          <w:szCs w:val="22"/>
        </w:rPr>
        <w:t xml:space="preserve">Digital Foundry</w:t>
      </w:r>
    </w:p>
    <w:p>
      <w:pPr>
        <w:spacing w:after="80" w:before="0" w:line="280"/>
        <w:ind w:left="360"/>
      </w:pPr>
      <w:r>
        <w:rPr>
          <w:rFonts w:ascii="Calibri" w:cs="Calibri" w:eastAsia="Calibri" w:hAnsi="Calibri"/>
          <w:color w:val="2C2C2C"/>
          <w:sz w:val="21"/>
          <w:szCs w:val="21"/>
        </w:rPr>
        <w:t xml:space="preserve">DDM Systems proprietary name for the vertically integrated production architecture combining LAMP™ ceramic three-dimensional printing, DirectPour™ casting service, SLE™ metal additive technology, and the supporting software, process control, and quality infrastructure.</w:t>
      </w:r>
    </w:p>
    <w:p>
      <w:pPr>
        <w:spacing w:after="40" w:before="140" w:line="280"/>
      </w:pPr>
      <w:r>
        <w:rPr>
          <w:rFonts w:ascii="Calibri" w:cs="Calibri" w:eastAsia="Calibri" w:hAnsi="Calibri"/>
          <w:b/>
          <w:bCs/>
          <w:color w:val="1B2A4A"/>
          <w:sz w:val="22"/>
          <w:szCs w:val="22"/>
        </w:rPr>
        <w:t xml:space="preserve">DS, Directionally Solidified</w:t>
      </w:r>
    </w:p>
    <w:p>
      <w:pPr>
        <w:spacing w:after="80" w:before="0" w:line="280"/>
        <w:ind w:left="360"/>
      </w:pPr>
      <w:r>
        <w:rPr>
          <w:rFonts w:ascii="Calibri" w:cs="Calibri" w:eastAsia="Calibri" w:hAnsi="Calibri"/>
          <w:color w:val="2C2C2C"/>
          <w:sz w:val="21"/>
          <w:szCs w:val="21"/>
        </w:rPr>
        <w:t xml:space="preserve">A casting microstructure in which solidification is controlled to produce columnar grains oriented along a specified axis, typically the principal stress axis of the part. DS alloys have superior creep resistance compared with equiaxed alloys because transverse grain boundaries, which are creep weak, are eliminated.</w:t>
      </w:r>
    </w:p>
    <w:p>
      <w:pPr>
        <w:spacing w:after="40" w:before="140" w:line="280"/>
      </w:pPr>
      <w:r>
        <w:rPr>
          <w:rFonts w:ascii="Calibri" w:cs="Calibri" w:eastAsia="Calibri" w:hAnsi="Calibri"/>
          <w:b/>
          <w:bCs/>
          <w:color w:val="1B2A4A"/>
          <w:sz w:val="22"/>
          <w:szCs w:val="22"/>
        </w:rPr>
        <w:t xml:space="preserve">EQ, Equiaxed</w:t>
      </w:r>
    </w:p>
    <w:p>
      <w:pPr>
        <w:spacing w:after="80" w:before="0" w:line="280"/>
        <w:ind w:left="360"/>
      </w:pPr>
      <w:r>
        <w:rPr>
          <w:rFonts w:ascii="Calibri" w:cs="Calibri" w:eastAsia="Calibri" w:hAnsi="Calibri"/>
          <w:color w:val="2C2C2C"/>
          <w:sz w:val="21"/>
          <w:szCs w:val="21"/>
        </w:rPr>
        <w:t xml:space="preserve">A casting microstructure in which grains are randomly oriented and approximately equal in all directions. Equiaxed castings are the simplest and least expensive grain architecture but have the earliest creep failure at high-temperature due to transverse grain boundary weakness.</w:t>
      </w:r>
    </w:p>
    <w:p>
      <w:pPr>
        <w:spacing w:after="40" w:before="140" w:line="280"/>
      </w:pPr>
      <w:r>
        <w:rPr>
          <w:rFonts w:ascii="Calibri" w:cs="Calibri" w:eastAsia="Calibri" w:hAnsi="Calibri"/>
          <w:b/>
          <w:bCs/>
          <w:color w:val="1B2A4A"/>
          <w:sz w:val="22"/>
          <w:szCs w:val="22"/>
        </w:rPr>
        <w:t xml:space="preserve">Gamma Prime</w:t>
      </w:r>
    </w:p>
    <w:p>
      <w:pPr>
        <w:spacing w:after="80" w:before="0" w:line="280"/>
        <w:ind w:left="360"/>
      </w:pPr>
      <w:r>
        <w:rPr>
          <w:rFonts w:ascii="Calibri" w:cs="Calibri" w:eastAsia="Calibri" w:hAnsi="Calibri"/>
          <w:color w:val="2C2C2C"/>
          <w:sz w:val="21"/>
          <w:szCs w:val="21"/>
        </w:rPr>
        <w:t xml:space="preserve">The principal strengthening phase in nickel-base superalloys, with composition approximately Ni₃Al or Ni3(Al, Ta, Ti). Gamma prime is coherent with the gamma matrix, which forces dislocations to shear or loop around the precipitates and dramatically increases flow stress and creep resistance at operating temperature.</w:t>
      </w:r>
    </w:p>
    <w:p>
      <w:pPr>
        <w:spacing w:after="40" w:before="140" w:line="280"/>
      </w:pPr>
      <w:r>
        <w:rPr>
          <w:rFonts w:ascii="Calibri" w:cs="Calibri" w:eastAsia="Calibri" w:hAnsi="Calibri"/>
          <w:b/>
          <w:bCs/>
          <w:color w:val="1B2A4A"/>
          <w:sz w:val="22"/>
          <w:szCs w:val="22"/>
        </w:rPr>
        <w:t xml:space="preserve">HIP, Hot Isostatic Pressing</w:t>
      </w:r>
    </w:p>
    <w:p>
      <w:pPr>
        <w:spacing w:after="80" w:before="0" w:line="280"/>
        <w:ind w:left="360"/>
      </w:pPr>
      <w:r>
        <w:rPr>
          <w:rFonts w:ascii="Calibri" w:cs="Calibri" w:eastAsia="Calibri" w:hAnsi="Calibri"/>
          <w:color w:val="2C2C2C"/>
          <w:sz w:val="21"/>
          <w:szCs w:val="21"/>
        </w:rPr>
        <w:t xml:space="preserve">A post casting process in which parts are simultaneously subjected to high-temperature and high gas pressure to close internal porosity. HIP is essential for the fatigue performance of cast superalloy airfoils and is typically conducted in large industrial pressure vessels.</w:t>
      </w:r>
    </w:p>
    <w:p>
      <w:pPr>
        <w:spacing w:after="40" w:before="140" w:line="280"/>
      </w:pPr>
      <w:r>
        <w:rPr>
          <w:rFonts w:ascii="Calibri" w:cs="Calibri" w:eastAsia="Calibri" w:hAnsi="Calibri"/>
          <w:b/>
          <w:bCs/>
          <w:color w:val="1B2A4A"/>
          <w:sz w:val="22"/>
          <w:szCs w:val="22"/>
        </w:rPr>
        <w:t xml:space="preserve">ITAR</w:t>
      </w:r>
    </w:p>
    <w:p>
      <w:pPr>
        <w:spacing w:after="80" w:before="0" w:line="280"/>
        <w:ind w:left="360"/>
      </w:pPr>
      <w:r>
        <w:rPr>
          <w:rFonts w:ascii="Calibri" w:cs="Calibri" w:eastAsia="Calibri" w:hAnsi="Calibri"/>
          <w:color w:val="2C2C2C"/>
          <w:sz w:val="21"/>
          <w:szCs w:val="21"/>
        </w:rPr>
        <w:t xml:space="preserve">International Traffic in Arms Regulations. A United States export control regime administered by the Directorate of Defense Trade Controls that governs the export of defense articles, defense services, and related technical data.</w:t>
      </w:r>
    </w:p>
    <w:p>
      <w:pPr>
        <w:spacing w:after="40" w:before="140" w:line="280"/>
      </w:pPr>
      <w:r>
        <w:rPr>
          <w:rFonts w:ascii="Calibri" w:cs="Calibri" w:eastAsia="Calibri" w:hAnsi="Calibri"/>
          <w:b/>
          <w:bCs/>
          <w:color w:val="1B2A4A"/>
          <w:sz w:val="22"/>
          <w:szCs w:val="22"/>
        </w:rPr>
        <w:t xml:space="preserve">JIATF 401</w:t>
      </w:r>
    </w:p>
    <w:p>
      <w:pPr>
        <w:spacing w:after="80" w:before="0" w:line="280"/>
        <w:ind w:left="360"/>
      </w:pPr>
      <w:r>
        <w:rPr>
          <w:rFonts w:ascii="Calibri" w:cs="Calibri" w:eastAsia="Calibri" w:hAnsi="Calibri"/>
          <w:color w:val="2C2C2C"/>
          <w:sz w:val="21"/>
          <w:szCs w:val="21"/>
        </w:rPr>
        <w:t xml:space="preserve">Joint Interagency Task Force 401. The consolidated acquisition authority for counter small unmanned aircraft systems, established in August 2025. JIATF 401 contracts are the primary procurement vehicle for Replicator 2 platforms.</w:t>
      </w:r>
    </w:p>
    <w:p>
      <w:pPr>
        <w:spacing w:after="40" w:before="140" w:line="280"/>
      </w:pPr>
      <w:r>
        <w:rPr>
          <w:rFonts w:ascii="Calibri" w:cs="Calibri" w:eastAsia="Calibri" w:hAnsi="Calibri"/>
          <w:b/>
          <w:bCs/>
          <w:color w:val="1B2A4A"/>
          <w:sz w:val="22"/>
          <w:szCs w:val="22"/>
        </w:rPr>
        <w:t xml:space="preserve">LAMP™</w:t>
      </w:r>
    </w:p>
    <w:p>
      <w:pPr>
        <w:spacing w:after="80" w:before="0" w:line="280"/>
        <w:ind w:left="360"/>
      </w:pPr>
      <w:r>
        <w:rPr>
          <w:rFonts w:ascii="Calibri" w:cs="Calibri" w:eastAsia="Calibri" w:hAnsi="Calibri"/>
          <w:color w:val="2C2C2C"/>
          <w:sz w:val="21"/>
          <w:szCs w:val="21"/>
        </w:rPr>
        <w:t xml:space="preserve">Large Area Maskless Photopolymerization. DDM Systems patented ceramic three-dimensional printing technology. Registered trademark 5530416 at the United States Patent and Trademark Office. Produces investment casting molds directly from CAD files using UV light to cure photopolymerizable ceramic slurries layer-by-layer.</w:t>
      </w:r>
    </w:p>
    <w:p>
      <w:pPr>
        <w:spacing w:after="40" w:before="140" w:line="280"/>
      </w:pPr>
      <w:r>
        <w:rPr>
          <w:rFonts w:ascii="Calibri" w:cs="Calibri" w:eastAsia="Calibri" w:hAnsi="Calibri"/>
          <w:b/>
          <w:bCs/>
          <w:color w:val="1B2A4A"/>
          <w:sz w:val="22"/>
          <w:szCs w:val="22"/>
        </w:rPr>
        <w:t xml:space="preserve">MAR-M247</w:t>
      </w:r>
    </w:p>
    <w:p>
      <w:pPr>
        <w:spacing w:after="80" w:before="0" w:line="280"/>
        <w:ind w:left="360"/>
      </w:pPr>
      <w:r>
        <w:rPr>
          <w:rFonts w:ascii="Calibri" w:cs="Calibri" w:eastAsia="Calibri" w:hAnsi="Calibri"/>
          <w:color w:val="2C2C2C"/>
          <w:sz w:val="21"/>
          <w:szCs w:val="21"/>
        </w:rPr>
        <w:t xml:space="preserve">A nickel-base superalloy originally developed by the Martin Marietta Corporation for land-based and aviation gas turbine blades. Nominal composition is approximately ten percent cobalt, ten percent tungsten, five and a half percent aluminum, three percent tantalum, eight point four percent chromium, one point five percent hafnium, with balance nickel and minor additions. Widely used in directionally solidified and equiaxed forms for hot-section airfoils.</w:t>
      </w:r>
    </w:p>
    <w:p>
      <w:pPr>
        <w:spacing w:after="40" w:before="140" w:line="280"/>
      </w:pPr>
      <w:r>
        <w:rPr>
          <w:rFonts w:ascii="Calibri" w:cs="Calibri" w:eastAsia="Calibri" w:hAnsi="Calibri"/>
          <w:b/>
          <w:bCs/>
          <w:color w:val="1B2A4A"/>
          <w:sz w:val="22"/>
          <w:szCs w:val="22"/>
        </w:rPr>
        <w:t xml:space="preserve">Microturbine</w:t>
      </w:r>
    </w:p>
    <w:p>
      <w:pPr>
        <w:spacing w:after="80" w:before="0" w:line="280"/>
        <w:ind w:left="360"/>
      </w:pPr>
      <w:r>
        <w:rPr>
          <w:rFonts w:ascii="Calibri" w:cs="Calibri" w:eastAsia="Calibri" w:hAnsi="Calibri"/>
          <w:color w:val="2C2C2C"/>
          <w:sz w:val="21"/>
          <w:szCs w:val="21"/>
        </w:rPr>
        <w:t xml:space="preserve">A small gas turbine engine, typically producing less than ten kilonewtons of thrust or less than one hundred kilowatts of shaft power. Microturbines are the propulsion of choice for high-performance attritable drones, target drones, loitering munitions, and high-speed interceptors.</w:t>
      </w:r>
    </w:p>
    <w:p>
      <w:pPr>
        <w:spacing w:after="40" w:before="140" w:line="280"/>
      </w:pPr>
      <w:r>
        <w:rPr>
          <w:rFonts w:ascii="Calibri" w:cs="Calibri" w:eastAsia="Calibri" w:hAnsi="Calibri"/>
          <w:b/>
          <w:bCs/>
          <w:color w:val="1B2A4A"/>
          <w:sz w:val="22"/>
          <w:szCs w:val="22"/>
        </w:rPr>
        <w:t xml:space="preserve">NAICS</w:t>
      </w:r>
    </w:p>
    <w:p>
      <w:pPr>
        <w:spacing w:after="80" w:before="0" w:line="280"/>
        <w:ind w:left="360"/>
      </w:pPr>
      <w:r>
        <w:rPr>
          <w:rFonts w:ascii="Calibri" w:cs="Calibri" w:eastAsia="Calibri" w:hAnsi="Calibri"/>
          <w:color w:val="2C2C2C"/>
          <w:sz w:val="21"/>
          <w:szCs w:val="21"/>
        </w:rPr>
        <w:t xml:space="preserve">North American Industry Classification System. A standardized classification system used by federal statistical agencies for business and industry classification. NAICS codes are used to determine eligibility for various federal procurement set aside programs.</w:t>
      </w:r>
    </w:p>
    <w:p>
      <w:pPr>
        <w:spacing w:after="40" w:before="140" w:line="280"/>
      </w:pPr>
      <w:r>
        <w:rPr>
          <w:rFonts w:ascii="Calibri" w:cs="Calibri" w:eastAsia="Calibri" w:hAnsi="Calibri"/>
          <w:b/>
          <w:bCs/>
          <w:color w:val="1B2A4A"/>
          <w:sz w:val="22"/>
          <w:szCs w:val="22"/>
        </w:rPr>
        <w:t xml:space="preserve">Replicator</w:t>
      </w:r>
    </w:p>
    <w:p>
      <w:pPr>
        <w:spacing w:after="80" w:before="0" w:line="280"/>
        <w:ind w:left="360"/>
      </w:pPr>
      <w:r>
        <w:rPr>
          <w:rFonts w:ascii="Calibri" w:cs="Calibri" w:eastAsia="Calibri" w:hAnsi="Calibri"/>
          <w:color w:val="2C2C2C"/>
          <w:sz w:val="21"/>
          <w:szCs w:val="21"/>
        </w:rPr>
        <w:t xml:space="preserve">A Department of Defense initiative announced in August 2023 by Deputy Secretary of Defense Kathleen Hicks to field thousands of attritable autonomous systems within eighteen to twenty-four months. The initiative leverages existing authorities, primarily through the Defense Innovation Unit, to accelerate fielding of attritable air, maritime surface, and undersea platforms. Replicator 2, announced in September 2024, extended the initiative to counter small UAS platforms.</w:t>
      </w:r>
    </w:p>
    <w:p>
      <w:pPr>
        <w:spacing w:after="40" w:before="140" w:line="280"/>
      </w:pPr>
      <w:r>
        <w:rPr>
          <w:rFonts w:ascii="Calibri" w:cs="Calibri" w:eastAsia="Calibri" w:hAnsi="Calibri"/>
          <w:b/>
          <w:bCs/>
          <w:color w:val="1B2A4A"/>
          <w:sz w:val="22"/>
          <w:szCs w:val="22"/>
        </w:rPr>
        <w:t xml:space="preserve">SLE™</w:t>
      </w:r>
    </w:p>
    <w:p>
      <w:pPr>
        <w:spacing w:after="80" w:before="0" w:line="280"/>
        <w:ind w:left="360"/>
      </w:pPr>
      <w:r>
        <w:rPr>
          <w:rFonts w:ascii="Calibri" w:cs="Calibri" w:eastAsia="Calibri" w:hAnsi="Calibri"/>
          <w:color w:val="2C2C2C"/>
          <w:sz w:val="21"/>
          <w:szCs w:val="21"/>
        </w:rPr>
        <w:t xml:space="preserve">Scanning Laser Epitaxy. DDM Systems proprietary metal additive manufacturing technology for superalloy deposition and repair. Demonstrated on traditionally non weldable alloys including MAR-M247, Rene 80, and IN100. Produces fully dense, crack free deposits.</w:t>
      </w:r>
    </w:p>
    <w:p>
      <w:pPr>
        <w:spacing w:after="40" w:before="140" w:line="280"/>
      </w:pPr>
      <w:r>
        <w:rPr>
          <w:rFonts w:ascii="Calibri" w:cs="Calibri" w:eastAsia="Calibri" w:hAnsi="Calibri"/>
          <w:b/>
          <w:bCs/>
          <w:color w:val="1B2A4A"/>
          <w:sz w:val="22"/>
          <w:szCs w:val="22"/>
        </w:rPr>
        <w:t xml:space="preserve">SX, Single Crystal</w:t>
      </w:r>
    </w:p>
    <w:p>
      <w:pPr>
        <w:spacing w:after="80" w:before="0" w:line="280"/>
        <w:ind w:left="360"/>
      </w:pPr>
      <w:r>
        <w:rPr>
          <w:rFonts w:ascii="Calibri" w:cs="Calibri" w:eastAsia="Calibri" w:hAnsi="Calibri"/>
          <w:color w:val="2C2C2C"/>
          <w:sz w:val="21"/>
          <w:szCs w:val="21"/>
        </w:rPr>
        <w:t xml:space="preserve">A casting microstructure in which the entire part is a single continuous crystal with no grain boundaries. Single crystal castings offer the highest service temperature and longest life in nickel superalloy applications but at the highest cost and with the narrowest processing window.</w:t>
      </w:r>
    </w:p>
    <w:p>
      <w:pPr>
        <w:spacing w:after="40" w:before="140" w:line="280"/>
      </w:pPr>
      <w:r>
        <w:rPr>
          <w:rFonts w:ascii="Calibri" w:cs="Calibri" w:eastAsia="Calibri" w:hAnsi="Calibri"/>
          <w:b/>
          <w:bCs/>
          <w:color w:val="1B2A4A"/>
          <w:sz w:val="22"/>
          <w:szCs w:val="22"/>
        </w:rPr>
        <w:t xml:space="preserve">UAS</w:t>
      </w:r>
    </w:p>
    <w:p>
      <w:pPr>
        <w:spacing w:after="80" w:before="0" w:line="280"/>
        <w:ind w:left="360"/>
      </w:pPr>
      <w:r>
        <w:rPr>
          <w:rFonts w:ascii="Calibri" w:cs="Calibri" w:eastAsia="Calibri" w:hAnsi="Calibri"/>
          <w:color w:val="2C2C2C"/>
          <w:sz w:val="21"/>
          <w:szCs w:val="21"/>
        </w:rPr>
        <w:t xml:space="preserve">Unmanned Aircraft System. The full system including the unmanned aircraft, the ground control station, the communications link, and the supporting equipment. Group 1 and Group 2 UAS are small systems typically weighing less than fifty five pounds. Group 3 through Group 5 UAS are progressively larger.</w:t>
      </w:r>
    </w:p>
    <w:p>
      <w:pPr>
        <w:spacing w:after="40" w:before="140" w:line="280"/>
      </w:pPr>
      <w:r>
        <w:rPr>
          <w:rFonts w:ascii="Calibri" w:cs="Calibri" w:eastAsia="Calibri" w:hAnsi="Calibri"/>
          <w:b/>
          <w:bCs/>
          <w:color w:val="1B2A4A"/>
          <w:sz w:val="22"/>
          <w:szCs w:val="22"/>
        </w:rPr>
        <w:t xml:space="preserve">VIM, Vacuum Induction Melting</w:t>
      </w:r>
    </w:p>
    <w:p>
      <w:pPr>
        <w:spacing w:after="80" w:before="0" w:line="280"/>
        <w:ind w:left="360"/>
      </w:pPr>
      <w:r>
        <w:rPr>
          <w:rFonts w:ascii="Calibri" w:cs="Calibri" w:eastAsia="Calibri" w:hAnsi="Calibri"/>
          <w:color w:val="2C2C2C"/>
          <w:sz w:val="21"/>
          <w:szCs w:val="21"/>
        </w:rPr>
        <w:t xml:space="preserve">A melting process conducted under vacuum in which an induction heating coil melts a metal charge. VIM is essential for production of aerospace grade nickel superalloys because it prevents reactions between the molten metal and atmospheric oxygen and nitrogen that would otherwise compromise mechanical properties.</w:t>
      </w:r>
    </w:p>
    <w:p>
      <w:pPr>
        <w:spacing w:after="1200" w:before="0"/>
      </w:pPr>
      <w:r>
        <w:t xml:space="preserve"/>
      </w:r>
    </w:p>
    <w:p>
      <w:pPr>
        <w:pBdr>
          <w:bottom w:val="single" w:color="1B2A4A" w:sz="24" w:space="1"/>
        </w:pBdr>
        <w:spacing w:after="240" w:before="0"/>
      </w:pPr>
      <w:r>
        <w:rPr>
          <w:rFonts w:ascii="Calibri" w:cs="Calibri" w:eastAsia="Calibri" w:hAnsi="Calibri"/>
          <w:sz w:val="2"/>
          <w:szCs w:val="2"/>
        </w:rPr>
        <w:t xml:space="preserve"/>
      </w:r>
    </w:p>
    <w:p>
      <w:pPr>
        <w:spacing w:after="120" w:before="120"/>
        <w:jc w:val="center"/>
      </w:pPr>
      <w:r>
        <w:rPr>
          <w:rFonts w:ascii="Calibri" w:cs="Calibri" w:eastAsia="Calibri" w:hAnsi="Calibri"/>
          <w:b/>
          <w:bCs/>
          <w:color w:val="1B2A4A"/>
          <w:sz w:val="40"/>
          <w:szCs w:val="40"/>
        </w:rPr>
        <w:t xml:space="preserve">DDM SYSTEMS, INC.</w:t>
      </w:r>
    </w:p>
    <w:p>
      <w:pPr>
        <w:spacing w:after="200" w:before="40"/>
        <w:jc w:val="center"/>
      </w:pPr>
      <w:r>
        <w:rPr>
          <w:rFonts w:ascii="Calibri" w:cs="Calibri" w:eastAsia="Calibri" w:hAnsi="Calibri"/>
          <w:i/>
          <w:iCs/>
          <w:color w:val="2E5C8A"/>
          <w:sz w:val="22"/>
          <w:szCs w:val="22"/>
        </w:rPr>
        <w:t xml:space="preserve">The Digital Foundry. LAMP™. DirectPour™. SLE™.</w:t>
      </w:r>
    </w:p>
    <w:p>
      <w:pPr>
        <w:spacing w:after="80" w:before="0"/>
        <w:jc w:val="center"/>
      </w:pPr>
      <w:r>
        <w:rPr>
          <w:rFonts w:ascii="Calibri" w:cs="Calibri" w:eastAsia="Calibri" w:hAnsi="Calibri"/>
          <w:color w:val="2C2C2C"/>
          <w:sz w:val="20"/>
          <w:szCs w:val="20"/>
        </w:rPr>
        <w:t xml:space="preserve">1876 Defoor Avenue NW, Suite 3, Atlanta, GA 30318</w:t>
      </w:r>
    </w:p>
    <w:p>
      <w:pPr>
        <w:spacing w:after="240" w:before="0"/>
        <w:jc w:val="center"/>
      </w:pPr>
      <w:r>
        <w:rPr>
          <w:rFonts w:ascii="Calibri" w:cs="Calibri" w:eastAsia="Calibri" w:hAnsi="Calibri"/>
          <w:b/>
          <w:bCs/>
          <w:color w:val="1B2A4A"/>
          <w:sz w:val="22"/>
          <w:szCs w:val="22"/>
        </w:rPr>
        <w:t xml:space="preserve">www.RapidPrecisionCastings.com</w:t>
      </w:r>
    </w:p>
    <w:p>
      <w:pPr>
        <w:pBdr>
          <w:top w:val="single" w:color="1B2A4A" w:sz="24" w:space="1"/>
        </w:pBdr>
        <w:spacing w:after="0" w:before="80"/>
      </w:pPr>
      <w:r>
        <w:rPr>
          <w:rFonts w:ascii="Calibri" w:cs="Calibri" w:eastAsia="Calibri" w:hAnsi="Calibri"/>
          <w:sz w:val="2"/>
          <w:szCs w:val="2"/>
        </w:rPr>
        <w:t xml:space="preserve"/>
      </w:r>
    </w:p>
    <w:p>
      <w:pPr>
        <w:spacing w:after="120" w:before="0"/>
      </w:pPr>
      <w:r>
        <w:t xml:space="preserve"/>
      </w:r>
    </w:p>
    <w:p>
      <w:pPr>
        <w:spacing w:after="0" w:before="0"/>
        <w:jc w:val="center"/>
      </w:pPr>
      <w:r>
        <w:rPr>
          <w:rFonts w:ascii="Calibri" w:cs="Calibri" w:eastAsia="Calibri" w:hAnsi="Calibri"/>
          <w:i/>
          <w:iCs/>
          <w:color w:val="6B7280"/>
          <w:sz w:val="18"/>
          <w:szCs w:val="18"/>
        </w:rPr>
        <w:t xml:space="preserve">Published April 2026. All rights reserved.</w:t>
      </w:r>
    </w:p>
    <w:sectPr>
      <w:headerReference w:type="default" r:id="rId7"/>
      <w:footerReference w:type="default" r:id="rId8"/>
      <w:pgSz w:w="12240" w:h="15840" w:orient="portrait"/>
      <w:pgMar w:top="1800" w:right="1440" w:bottom="1800" w:left="1440" w:header="720" w:footer="720"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B2A4A" w:sz="6" w:space="4"/>
      </w:pBdr>
      <w:spacing w:after="0" w:before="40"/>
    </w:pPr>
    <w:r>
      <w:rPr>
        <w:rFonts w:ascii="Calibri" w:cs="Calibri" w:eastAsia="Calibri" w:hAnsi="Calibri"/>
        <w:sz w:val="2"/>
        <w:szCs w:val="2"/>
      </w:rPr>
      <w:t xml:space="preserve"/>
    </w:r>
  </w:p>
  <w:tbl>
    <w:tblPr>
      <w:tblW w:type="dxa" w:w="9360"/>
      <w:tblBorders>
        <w:top w:val="none" w:color="FFFFFF" w:sz="0"/>
        <w:left w:val="none" w:color="FFFFFF" w:sz="0"/>
        <w:bottom w:val="none" w:color="FFFFFF" w:sz="0"/>
        <w:right w:val="none" w:color="FFFFFF" w:sz="0"/>
        <w:insideH w:val="none" w:color="FFFFFF" w:sz="0"/>
        <w:insideV w:val="none" w:color="FFFFFF" w:sz="0"/>
      </w:tblBorders>
    </w:tblPr>
    <w:tblGrid>
      <w:gridCol w:w="3120"/>
      <w:gridCol w:w="3120"/>
      <w:gridCol w:w="3120"/>
    </w:tblGrid>
    <w:tr>
      <w:tc>
        <w:tcPr>
          <w:tcW w:type="dxa" w:w="3120"/>
          <w:tcBorders>
            <w:top w:val="none" w:color="FFFFFF" w:sz="0"/>
            <w:left w:val="none" w:color="FFFFFF" w:sz="0"/>
            <w:bottom w:val="none" w:color="FFFFFF" w:sz="0"/>
            <w:right w:val="none" w:color="FFFFFF" w:sz="0"/>
          </w:tcBorders>
          <w:tcMar>
            <w:top w:type="dxa" w:w="40"/>
            <w:left w:type="dxa" w:w="0"/>
            <w:bottom w:type="dxa" w:w="40"/>
            <w:right w:type="dxa" w:w="0"/>
          </w:tcMar>
        </w:tcPr>
        <w:p>
          <w:pPr>
            <w:spacing w:after="0" w:before="0"/>
            <w:jc w:val="left"/>
          </w:pPr>
          <w:r>
            <w:rPr>
              <w:rFonts w:ascii="Calibri" w:cs="Calibri" w:eastAsia="Calibri" w:hAnsi="Calibri"/>
              <w:color w:val="6B7280"/>
              <w:sz w:val="16"/>
              <w:szCs w:val="16"/>
            </w:rPr>
            <w:t xml:space="preserve">DDM Systems, Inc.</w:t>
          </w:r>
        </w:p>
      </w:tc>
      <w:tc>
        <w:tcPr>
          <w:tcW w:type="dxa" w:w="3120"/>
          <w:tcBorders>
            <w:top w:val="none" w:color="FFFFFF" w:sz="0"/>
            <w:left w:val="none" w:color="FFFFFF" w:sz="0"/>
            <w:bottom w:val="none" w:color="FFFFFF" w:sz="0"/>
            <w:right w:val="none" w:color="FFFFFF" w:sz="0"/>
          </w:tcBorders>
          <w:tcMar>
            <w:top w:type="dxa" w:w="40"/>
            <w:left w:type="dxa" w:w="0"/>
            <w:bottom w:type="dxa" w:w="40"/>
            <w:right w:type="dxa" w:w="0"/>
          </w:tcMar>
        </w:tcPr>
        <w:p>
          <w:pPr>
            <w:spacing w:after="0" w:before="0"/>
            <w:jc w:val="center"/>
          </w:pPr>
          <w:r>
            <w:rPr>
              <w:rFonts w:ascii="Calibri" w:cs="Calibri" w:eastAsia="Calibri" w:hAnsi="Calibri"/>
              <w:color w:val="6B7280"/>
              <w:sz w:val="16"/>
              <w:szCs w:val="16"/>
            </w:rPr>
            <w:t xml:space="preserve">Page </w:t>
          </w:r>
          <w:r>
            <w:rPr>
              <w:rFonts w:ascii="Calibri" w:cs="Calibri" w:eastAsia="Calibri" w:hAnsi="Calibri"/>
              <w:b/>
              <w:bCs/>
              <w:color w:val="1B2A4A"/>
              <w:sz w:val="16"/>
              <w:szCs w:val="16"/>
            </w:rPr>
            <w:fldChar w:fldCharType="begin"/>
            <w:instrText xml:space="preserve">PAGE</w:instrText>
            <w:fldChar w:fldCharType="separate"/>
            <w:fldChar w:fldCharType="end"/>
          </w:r>
          <w:r>
            <w:rPr>
              <w:rFonts w:ascii="Calibri" w:cs="Calibri" w:eastAsia="Calibri" w:hAnsi="Calibri"/>
              <w:color w:val="6B7280"/>
              <w:sz w:val="16"/>
              <w:szCs w:val="16"/>
            </w:rPr>
            <w:t xml:space="preserve"> of </w:t>
          </w:r>
          <w:r>
            <w:rPr>
              <w:rFonts w:ascii="Calibri" w:cs="Calibri" w:eastAsia="Calibri" w:hAnsi="Calibri"/>
              <w:color w:val="6B7280"/>
              <w:sz w:val="16"/>
              <w:szCs w:val="16"/>
            </w:rPr>
            <w:fldChar w:fldCharType="begin"/>
            <w:instrText xml:space="preserve">NUMPAGES</w:instrText>
            <w:fldChar w:fldCharType="separate"/>
            <w:fldChar w:fldCharType="end"/>
          </w:r>
        </w:p>
      </w:tc>
      <w:tc>
        <w:tcPr>
          <w:tcW w:type="dxa" w:w="3120"/>
          <w:tcBorders>
            <w:top w:val="none" w:color="FFFFFF" w:sz="0"/>
            <w:left w:val="none" w:color="FFFFFF" w:sz="0"/>
            <w:bottom w:val="none" w:color="FFFFFF" w:sz="0"/>
            <w:right w:val="none" w:color="FFFFFF" w:sz="0"/>
          </w:tcBorders>
          <w:tcMar>
            <w:top w:type="dxa" w:w="40"/>
            <w:left w:type="dxa" w:w="0"/>
            <w:bottom w:type="dxa" w:w="40"/>
            <w:right w:type="dxa" w:w="0"/>
          </w:tcMar>
        </w:tcPr>
        <w:p>
          <w:pPr>
            <w:spacing w:after="0" w:before="0"/>
            <w:jc w:val="right"/>
          </w:pPr>
          <w:r>
            <w:rPr>
              <w:rFonts w:ascii="Calibri" w:cs="Calibri" w:eastAsia="Calibri" w:hAnsi="Calibri"/>
              <w:b/>
              <w:bCs/>
              <w:color w:val="1B2A4A"/>
              <w:sz w:val="16"/>
              <w:szCs w:val="16"/>
            </w:rPr>
            <w:t xml:space="preserve">www.RapidPrecisionCastings.com</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color="FFFFFF" w:sz="0"/>
        <w:left w:val="none" w:color="FFFFFF" w:sz="0"/>
        <w:bottom w:val="single" w:color="1B2A4A" w:sz="8"/>
        <w:right w:val="none" w:color="FFFFFF" w:sz="0"/>
        <w:insideH w:val="none" w:color="FFFFFF" w:sz="0"/>
        <w:insideV w:val="none" w:color="FFFFFF" w:sz="0"/>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40"/>
            <w:left w:type="dxa" w:w="0"/>
            <w:bottom w:type="dxa" w:w="40"/>
            <w:right w:type="dxa" w:w="0"/>
          </w:tcMar>
        </w:tcPr>
        <w:p>
          <w:pPr>
            <w:spacing w:after="0" w:before="0"/>
            <w:jc w:val="left"/>
          </w:pPr>
          <w:r>
            <w:rPr>
              <w:rFonts w:ascii="Calibri" w:cs="Calibri" w:eastAsia="Calibri" w:hAnsi="Calibri"/>
              <w:b/>
              <w:bCs/>
              <w:color w:val="1B2A4A"/>
              <w:sz w:val="22"/>
              <w:szCs w:val="22"/>
            </w:rPr>
            <w:t xml:space="preserve">DDM </w:t>
          </w:r>
          <w:r>
            <w:rPr>
              <w:rFonts w:ascii="Calibri" w:cs="Calibri" w:eastAsia="Calibri" w:hAnsi="Calibri"/>
              <w:color w:val="2E5C8A"/>
              <w:sz w:val="22"/>
              <w:szCs w:val="22"/>
            </w:rPr>
            <w:t xml:space="preserve">SYSTEMS</w:t>
          </w:r>
        </w:p>
      </w:tc>
      <w:tc>
        <w:tcPr>
          <w:tcW w:type="dxa" w:w="4680"/>
          <w:tcBorders>
            <w:top w:val="none" w:color="FFFFFF" w:sz="0"/>
            <w:left w:val="none" w:color="FFFFFF" w:sz="0"/>
            <w:bottom w:val="none" w:color="FFFFFF" w:sz="0"/>
            <w:right w:val="none" w:color="FFFFFF" w:sz="0"/>
          </w:tcBorders>
          <w:tcMar>
            <w:top w:type="dxa" w:w="40"/>
            <w:left w:type="dxa" w:w="0"/>
            <w:bottom w:type="dxa" w:w="40"/>
            <w:right w:type="dxa" w:w="0"/>
          </w:tcMar>
        </w:tcPr>
        <w:p>
          <w:pPr>
            <w:spacing w:after="0" w:before="0"/>
            <w:jc w:val="right"/>
          </w:pPr>
          <w:r>
            <w:rPr>
              <w:rFonts w:ascii="Calibri" w:cs="Calibri" w:eastAsia="Calibri" w:hAnsi="Calibri"/>
              <w:i/>
              <w:iCs/>
              <w:color w:val="6B7280"/>
              <w:sz w:val="18"/>
              <w:szCs w:val="18"/>
            </w:rPr>
            <w:t xml:space="preserve">Advancing Drone Turbine Propulsion</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decimal"/>
      <w:lvlText w:val="%1."/>
      <w:lvlJc w:val="left"/>
      <w:pPr>
        <w:ind w:left="720" w:hanging="360"/>
      </w:pPr>
    </w:lvl>
  </w:abstractNum>
  <w:abstractNum w:abstractNumId="5" w15:restartNumberingAfterBreak="0">
    <w:multiLevelType w:val="hybridMultilevel"/>
    <w:lvl w:ilvl="0" w15:tentative="1">
      <w:start w:val="1"/>
      <w:numFmt w:val="decimal"/>
      <w:lvlText w:val="%1."/>
      <w:lvlJc w:val="left"/>
      <w:pPr>
        <w:ind w:left="720" w:hanging="360"/>
      </w:pPr>
    </w:lvl>
  </w:abstractNum>
  <w:abstractNum w:abstractNumId="6" w15:restartNumberingAfterBreak="0">
    <w:multiLevelType w:val="hybridMultilevel"/>
    <w:lvl w:ilvl="0" w15:tentative="1">
      <w:start w:val="1"/>
      <w:numFmt w:val="decimal"/>
      <w:lvlText w:val="%1."/>
      <w:lvlJc w:val="left"/>
      <w:pPr>
        <w:ind w:left="720" w:hanging="360"/>
      </w:pPr>
    </w:lvl>
  </w:abstractNum>
  <w:abstractNum w:abstractNumId="7" w15:restartNumberingAfterBreak="0">
    <w:multiLevelType w:val="hybridMultilevel"/>
    <w:lvl w:ilvl="0" w15:tentative="1">
      <w:start w:val="1"/>
      <w:numFmt w:val="decimal"/>
      <w:lvlText w:val="%1."/>
      <w:lvlJc w:val="left"/>
      <w:pPr>
        <w:ind w:left="720" w:hanging="360"/>
      </w:pPr>
    </w:lvl>
  </w:abstractNum>
  <w:abstractNum w:abstractNumId="8" w15:restartNumberingAfterBreak="0">
    <w:multiLevelType w:val="hybridMultilevel"/>
    <w:lvl w:ilvl="0" w15:tentative="1">
      <w:start w:val="1"/>
      <w:numFmt w:val="decimal"/>
      <w:lvlText w:val="%1."/>
      <w:lvlJc w:val="left"/>
      <w:pPr>
        <w:ind w:left="720" w:hanging="360"/>
      </w:pPr>
    </w:lvl>
  </w:abstractNum>
  <w:abstractNum w:abstractNumId="9" w15:restartNumberingAfterBreak="0">
    <w:multiLevelType w:val="hybridMultilevel"/>
    <w:lvl w:ilvl="0" w15:tentative="1">
      <w:start w:val="1"/>
      <w:numFmt w:val="decimal"/>
      <w:lvlText w:val="%1."/>
      <w:lvlJc w:val="left"/>
      <w:pPr>
        <w:ind w:left="720" w:hanging="360"/>
      </w:pPr>
    </w:lvl>
  </w:abstractNum>
  <w:abstractNum w:abstractNumId="10" w15:restartNumberingAfterBreak="0">
    <w:multiLevelType w:val="hybridMultilevel"/>
    <w:lvl w:ilvl="0" w15:tentative="1">
      <w:start w:val="1"/>
      <w:numFmt w:val="decimal"/>
      <w:lvlText w:val="%1."/>
      <w:lvlJc w:val="left"/>
      <w:pPr>
        <w:ind w:left="720" w:hanging="360"/>
      </w:pPr>
    </w:lvl>
  </w:abstractNum>
  <w:abstractNum w:abstractNumId="11" w15:restartNumberingAfterBreak="0">
    <w:multiLevelType w:val="hybridMultilevel"/>
    <w:lvl w:ilvl="0" w15:tentative="1">
      <w:start w:val="1"/>
      <w:numFmt w:val="decimal"/>
      <w:lvlText w:val="%1."/>
      <w:lvlJc w:val="left"/>
      <w:pPr>
        <w:ind w:left="720" w:hanging="360"/>
      </w:pPr>
    </w:lvl>
  </w:abstractNum>
  <w:abstractNum w:abstractNumId="12" w15:restartNumberingAfterBreak="0">
    <w:multiLevelType w:val="hybridMultilevel"/>
    <w:lvl w:ilvl="0" w15:tentative="1">
      <w:start w:val="1"/>
      <w:numFmt w:val="decimal"/>
      <w:lvlText w:val="%1."/>
      <w:lvlJc w:val="left"/>
      <w:pPr>
        <w:ind w:left="720" w:hanging="360"/>
      </w:pPr>
    </w:lvl>
  </w:abstractNum>
  <w:abstractNum w:abstractNumId="13" w15:restartNumberingAfterBreak="0">
    <w:multiLevelType w:val="hybridMultilevel"/>
    <w:lvl w:ilvl="0" w15:tentative="1">
      <w:start w:val="1"/>
      <w:numFmt w:val="decimal"/>
      <w:lvlText w:val="%1."/>
      <w:lvlJc w:val="left"/>
      <w:pPr>
        <w:ind w:left="720" w:hanging="360"/>
      </w:pPr>
    </w:lvl>
  </w:abstractNum>
  <w:abstractNum w:abstractNumId="14" w15:restartNumberingAfterBreak="0">
    <w:multiLevelType w:val="hybridMultilevel"/>
    <w:lvl w:ilvl="0" w15:tentative="1">
      <w:start w:val="1"/>
      <w:numFmt w:val="decimal"/>
      <w:lvlText w:val="%1."/>
      <w:lvlJc w:val="left"/>
      <w:pPr>
        <w:ind w:left="720" w:hanging="360"/>
      </w:pPr>
    </w:lvl>
  </w:abstractNum>
  <w:abstractNum w:abstractNumId="15" w15:restartNumberingAfterBreak="0">
    <w:multiLevelType w:val="hybridMultilevel"/>
    <w:lvl w:ilvl="0" w15:tentative="1">
      <w:start w:val="1"/>
      <w:numFmt w:val="decimal"/>
      <w:lvlText w:val="%1."/>
      <w:lvlJc w:val="left"/>
      <w:pPr>
        <w:ind w:left="720" w:hanging="360"/>
      </w:pPr>
    </w:lvl>
  </w:abstractNum>
  <w:abstractNum w:abstractNumId="16" w15:restartNumberingAfterBreak="0">
    <w:multiLevelType w:val="hybridMultilevel"/>
    <w:lvl w:ilvl="0" w15:tentative="1">
      <w:start w:val="1"/>
      <w:numFmt w:val="decimal"/>
      <w:lvlText w:val="%1."/>
      <w:lvlJc w:val="left"/>
      <w:pPr>
        <w:ind w:left="720" w:hanging="360"/>
      </w:pPr>
    </w:lvl>
  </w:abstractNum>
  <w:abstractNum w:abstractNumId="17"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4"/>
    <w:lvlOverride w:ilvl="0">
      <w:startOverride w:val="1"/>
    </w:lvlOverride>
  </w:num>
  <w:num w:numId="4">
    <w:abstractNumId w:val="5"/>
    <w:lvlOverride w:ilvl="0">
      <w:startOverride w:val="1"/>
    </w:lvlOverride>
  </w:num>
  <w:num w:numId="5">
    <w:abstractNumId w:val="2"/>
    <w:lvlOverride w:ilvl="0">
      <w:startOverride w:val="1"/>
    </w:lvlOverride>
  </w:num>
  <w:num w:numId="6">
    <w:abstractNumId w:val="6"/>
    <w:lvlOverride w:ilvl="0">
      <w:startOverride w:val="1"/>
    </w:lvlOverride>
  </w:num>
  <w:num w:numId="7">
    <w:abstractNumId w:val="7"/>
    <w:lvlOverride w:ilvl="0">
      <w:startOverride w:val="1"/>
    </w:lvlOverride>
  </w:num>
  <w:num w:numId="8">
    <w:abstractNumId w:val="8"/>
    <w:lvlOverride w:ilvl="0">
      <w:startOverride w:val="1"/>
    </w:lvlOverride>
  </w:num>
  <w:num w:numId="9">
    <w:abstractNumId w:val="9"/>
    <w:lvlOverride w:ilvl="0">
      <w:startOverride w:val="1"/>
    </w:lvlOverride>
  </w:num>
  <w:num w:numId="10">
    <w:abstractNumId w:val="1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400" w:line="300"/>
      <w:outlineLvl w:val="0"/>
    </w:pPr>
    <w:rPr>
      <w:rFonts w:ascii="Calibri" w:cs="Calibri" w:eastAsia="Calibri" w:hAnsi="Calibri"/>
      <w:b/>
      <w:bCs/>
      <w:color w:val="1B2A4A"/>
      <w:sz w:val="36"/>
      <w:szCs w:val="36"/>
    </w:rPr>
  </w:style>
  <w:style w:type="paragraph" w:styleId="Heading2">
    <w:name w:val="Heading 2"/>
    <w:basedOn w:val="Normal"/>
    <w:next w:val="Normal"/>
    <w:qFormat/>
    <w:pPr>
      <w:spacing w:after="140" w:before="300" w:line="300"/>
      <w:outlineLvl w:val="1"/>
    </w:pPr>
    <w:rPr>
      <w:rFonts w:ascii="Calibri" w:cs="Calibri" w:eastAsia="Calibri" w:hAnsi="Calibri"/>
      <w:b/>
      <w:bCs/>
      <w:color w:val="1B2A4A"/>
      <w:sz w:val="28"/>
      <w:szCs w:val="28"/>
    </w:rPr>
  </w:style>
  <w:style w:type="paragraph" w:styleId="Heading3">
    <w:name w:val="Heading 3"/>
    <w:basedOn w:val="Normal"/>
    <w:next w:val="Normal"/>
    <w:qFormat/>
    <w:pPr>
      <w:spacing w:after="100" w:before="220" w:line="300"/>
      <w:outlineLvl w:val="2"/>
    </w:pPr>
    <w:rPr>
      <w:rFonts w:ascii="Calibri" w:cs="Calibri" w:eastAsia="Calibri" w:hAnsi="Calibri"/>
      <w:b/>
      <w:bCs/>
      <w:color w:val="2E5C8A"/>
      <w:sz w:val="24"/>
      <w:szCs w:val="24"/>
    </w:rPr>
  </w:style>
  <w:style w:type="paragraph" w:styleId="Heading4">
    <w:name w:val="Heading 4"/>
    <w:basedOn w:val="Normal"/>
    <w:next w:val="Normal"/>
    <w:qFormat/>
    <w:pPr>
      <w:spacing w:after="80" w:before="180" w:line="280"/>
      <w:outlineLvl w:val="3"/>
    </w:pPr>
    <w:rPr>
      <w:rFonts w:ascii="Calibri" w:cs="Calibri" w:eastAsia="Calibri" w:hAnsi="Calibri"/>
      <w:b/>
      <w:bCs/>
      <w:color w:val="0F1B33"/>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Advancing Drone Turbine Propulsion</dc:title>
  <dc:creator>DDM Systems, Inc.</dc:creator>
  <dc:description>The Case for Advanced Digital Investment Casting Facilities</dc:description>
  <cp:lastModifiedBy>Un-named</cp:lastModifiedBy>
  <cp:revision>1</cp:revision>
  <dcterms:created xsi:type="dcterms:W3CDTF">2026-04-22T01:47:24.253Z</dcterms:created>
  <dcterms:modified xsi:type="dcterms:W3CDTF">2026-04-22T01:47:24.253Z</dcterms:modified>
</cp:coreProperties>
</file>

<file path=docProps/custom.xml><?xml version="1.0" encoding="utf-8"?>
<Properties xmlns="http://schemas.openxmlformats.org/officeDocument/2006/custom-properties" xmlns:vt="http://schemas.openxmlformats.org/officeDocument/2006/docPropsVTypes"/>
</file>